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B5" w:rsidRPr="0079724D" w:rsidRDefault="002A7AB5">
      <w:pPr>
        <w:tabs>
          <w:tab w:val="left" w:pos="-1843"/>
          <w:tab w:val="left" w:pos="2127"/>
          <w:tab w:val="left" w:pos="5103"/>
          <w:tab w:val="left" w:pos="6521"/>
        </w:tabs>
        <w:spacing w:line="340" w:lineRule="exact"/>
        <w:ind w:right="-28"/>
        <w:rPr>
          <w:sz w:val="22"/>
          <w:szCs w:val="22"/>
        </w:rPr>
      </w:pPr>
    </w:p>
    <w:p w:rsidR="002A7AB5" w:rsidRPr="00E41FF1" w:rsidRDefault="002A7AB5">
      <w:pPr>
        <w:pBdr>
          <w:bottom w:val="single" w:sz="2" w:space="0" w:color="auto"/>
          <w:between w:val="single" w:sz="2" w:space="1" w:color="auto"/>
        </w:pBdr>
        <w:tabs>
          <w:tab w:val="left" w:pos="-1843"/>
          <w:tab w:val="left" w:pos="1843"/>
          <w:tab w:val="left" w:pos="5103"/>
          <w:tab w:val="left" w:pos="6521"/>
        </w:tabs>
        <w:spacing w:line="280" w:lineRule="exact"/>
        <w:ind w:right="-28"/>
        <w:rPr>
          <w:rFonts w:ascii="Arial" w:hAnsi="Arial" w:cs="Arial"/>
          <w:color w:val="000000"/>
          <w:sz w:val="18"/>
          <w:szCs w:val="18"/>
          <w:lang w:val="de-DE"/>
        </w:rPr>
      </w:pPr>
      <w:r w:rsidRPr="00E41FF1">
        <w:rPr>
          <w:rFonts w:ascii="Arial" w:hAnsi="Arial"/>
          <w:sz w:val="14"/>
          <w:szCs w:val="14"/>
          <w:lang w:val="de-DE"/>
        </w:rPr>
        <w:t xml:space="preserve">Autor / </w:t>
      </w:r>
      <w:proofErr w:type="spellStart"/>
      <w:r w:rsidRPr="00E41FF1">
        <w:rPr>
          <w:rFonts w:ascii="Arial" w:hAnsi="Arial"/>
          <w:sz w:val="14"/>
          <w:szCs w:val="14"/>
          <w:lang w:val="de-DE"/>
        </w:rPr>
        <w:t>Author</w:t>
      </w:r>
      <w:proofErr w:type="spellEnd"/>
      <w:r w:rsidRPr="00E41FF1">
        <w:rPr>
          <w:rFonts w:ascii="Arial" w:hAnsi="Arial"/>
          <w:sz w:val="14"/>
          <w:szCs w:val="14"/>
          <w:lang w:val="de-DE"/>
        </w:rPr>
        <w:t xml:space="preserve">: </w:t>
      </w:r>
      <w:r w:rsidRPr="00E41FF1">
        <w:rPr>
          <w:lang w:val="de-DE"/>
        </w:rPr>
        <w:tab/>
      </w:r>
      <w:r w:rsidRPr="00E41FF1">
        <w:rPr>
          <w:rFonts w:ascii="Arial" w:hAnsi="Arial"/>
          <w:sz w:val="18"/>
          <w:szCs w:val="18"/>
          <w:lang w:val="de-DE"/>
        </w:rPr>
        <w:t>Klaus Schmidt</w:t>
      </w:r>
      <w:r w:rsidRPr="00E41FF1">
        <w:rPr>
          <w:lang w:val="de-DE"/>
        </w:rPr>
        <w:tab/>
      </w:r>
      <w:r w:rsidRPr="00E41FF1">
        <w:rPr>
          <w:rFonts w:ascii="Arial" w:hAnsi="Arial"/>
          <w:sz w:val="14"/>
          <w:szCs w:val="14"/>
          <w:lang w:val="de-DE"/>
        </w:rPr>
        <w:t xml:space="preserve">N.º / </w:t>
      </w:r>
      <w:proofErr w:type="spellStart"/>
      <w:r w:rsidRPr="00E41FF1">
        <w:rPr>
          <w:rFonts w:ascii="Arial" w:hAnsi="Arial"/>
          <w:sz w:val="14"/>
          <w:szCs w:val="14"/>
          <w:lang w:val="de-DE"/>
        </w:rPr>
        <w:t>No</w:t>
      </w:r>
      <w:proofErr w:type="spellEnd"/>
      <w:r w:rsidRPr="00E41FF1">
        <w:rPr>
          <w:rFonts w:ascii="Arial" w:hAnsi="Arial"/>
          <w:sz w:val="14"/>
          <w:szCs w:val="14"/>
          <w:lang w:val="de-DE"/>
        </w:rPr>
        <w:t>.:</w:t>
      </w:r>
      <w:r w:rsidRPr="00E41FF1">
        <w:rPr>
          <w:lang w:val="de-DE"/>
        </w:rPr>
        <w:tab/>
      </w:r>
      <w:r w:rsidRPr="00E41FF1">
        <w:rPr>
          <w:rFonts w:ascii="Arial" w:hAnsi="Arial"/>
          <w:color w:val="000000"/>
          <w:sz w:val="18"/>
          <w:szCs w:val="18"/>
          <w:lang w:val="de-DE"/>
        </w:rPr>
        <w:t>15-</w:t>
      </w:r>
      <w:r w:rsidR="00E41FF1" w:rsidRPr="00E41FF1">
        <w:rPr>
          <w:rFonts w:ascii="Arial" w:hAnsi="Arial"/>
          <w:color w:val="000000"/>
          <w:sz w:val="18"/>
          <w:szCs w:val="18"/>
          <w:lang w:val="de-DE"/>
        </w:rPr>
        <w:t>019</w:t>
      </w:r>
      <w:r w:rsidRPr="00E41FF1">
        <w:rPr>
          <w:rFonts w:ascii="Arial" w:hAnsi="Arial"/>
          <w:color w:val="000000"/>
          <w:sz w:val="18"/>
          <w:szCs w:val="18"/>
          <w:lang w:val="de-DE"/>
        </w:rPr>
        <w:t>-W</w:t>
      </w:r>
    </w:p>
    <w:p w:rsidR="002A7AB5" w:rsidRPr="00E41FF1" w:rsidRDefault="002A7AB5">
      <w:pPr>
        <w:pBdr>
          <w:bottom w:val="single" w:sz="2" w:space="0" w:color="auto"/>
          <w:between w:val="single" w:sz="2" w:space="1" w:color="auto"/>
        </w:pBdr>
        <w:tabs>
          <w:tab w:val="left" w:pos="-1843"/>
          <w:tab w:val="left" w:pos="1843"/>
          <w:tab w:val="left" w:pos="5103"/>
          <w:tab w:val="left" w:pos="6521"/>
          <w:tab w:val="left" w:pos="8647"/>
        </w:tabs>
        <w:spacing w:line="280" w:lineRule="exact"/>
        <w:ind w:right="-28"/>
        <w:rPr>
          <w:rFonts w:ascii="Arial" w:hAnsi="Arial" w:cs="Arial"/>
          <w:lang w:val="de-DE"/>
        </w:rPr>
      </w:pPr>
      <w:proofErr w:type="spellStart"/>
      <w:r w:rsidRPr="00E41FF1">
        <w:rPr>
          <w:rFonts w:ascii="Arial" w:hAnsi="Arial"/>
          <w:sz w:val="14"/>
          <w:szCs w:val="14"/>
          <w:lang w:val="de-DE"/>
        </w:rPr>
        <w:t>Consultas</w:t>
      </w:r>
      <w:proofErr w:type="spellEnd"/>
      <w:r w:rsidRPr="00E41FF1">
        <w:rPr>
          <w:rFonts w:ascii="Arial" w:hAnsi="Arial"/>
          <w:sz w:val="14"/>
          <w:szCs w:val="14"/>
          <w:lang w:val="de-DE"/>
        </w:rPr>
        <w:t xml:space="preserve"> / </w:t>
      </w:r>
      <w:proofErr w:type="spellStart"/>
      <w:r w:rsidRPr="00E41FF1">
        <w:rPr>
          <w:rFonts w:ascii="Arial" w:hAnsi="Arial"/>
          <w:sz w:val="14"/>
          <w:szCs w:val="14"/>
          <w:lang w:val="de-DE"/>
        </w:rPr>
        <w:t>Enquiries</w:t>
      </w:r>
      <w:proofErr w:type="spellEnd"/>
      <w:r w:rsidRPr="00E41FF1">
        <w:rPr>
          <w:rFonts w:ascii="Arial" w:hAnsi="Arial"/>
          <w:sz w:val="14"/>
          <w:szCs w:val="14"/>
          <w:lang w:val="de-DE"/>
        </w:rPr>
        <w:t>:</w:t>
      </w:r>
      <w:r w:rsidRPr="00E41FF1">
        <w:rPr>
          <w:lang w:val="de-DE"/>
        </w:rPr>
        <w:tab/>
      </w:r>
      <w:r w:rsidRPr="00E41FF1">
        <w:rPr>
          <w:rFonts w:ascii="Arial" w:hAnsi="Arial"/>
          <w:sz w:val="18"/>
          <w:szCs w:val="18"/>
          <w:lang w:val="de-DE"/>
        </w:rPr>
        <w:t>Klaus Schmidt / Dr. Bernd Heusinger</w:t>
      </w:r>
      <w:r w:rsidRPr="00E41FF1">
        <w:rPr>
          <w:lang w:val="de-DE"/>
        </w:rPr>
        <w:tab/>
      </w:r>
      <w:proofErr w:type="spellStart"/>
      <w:r w:rsidRPr="00E41FF1">
        <w:rPr>
          <w:rFonts w:ascii="Arial" w:hAnsi="Arial"/>
          <w:sz w:val="14"/>
          <w:szCs w:val="14"/>
          <w:lang w:val="de-DE"/>
        </w:rPr>
        <w:t>Fecha</w:t>
      </w:r>
      <w:proofErr w:type="spellEnd"/>
      <w:r w:rsidRPr="00E41FF1">
        <w:rPr>
          <w:rFonts w:ascii="Arial" w:hAnsi="Arial"/>
          <w:sz w:val="14"/>
          <w:szCs w:val="14"/>
          <w:lang w:val="de-DE"/>
        </w:rPr>
        <w:t xml:space="preserve"> / Date:</w:t>
      </w:r>
      <w:r w:rsidRPr="00E41FF1">
        <w:rPr>
          <w:lang w:val="de-DE"/>
        </w:rPr>
        <w:tab/>
      </w:r>
      <w:r w:rsidRPr="00E41FF1">
        <w:rPr>
          <w:rFonts w:ascii="Arial" w:hAnsi="Arial"/>
          <w:sz w:val="18"/>
          <w:szCs w:val="18"/>
          <w:lang w:val="de-DE"/>
        </w:rPr>
        <w:t>20.03.2015</w:t>
      </w:r>
    </w:p>
    <w:p w:rsidR="002A7AB5" w:rsidRPr="00E41FF1" w:rsidRDefault="002A7AB5">
      <w:pPr>
        <w:pBdr>
          <w:bottom w:val="single" w:sz="2" w:space="0" w:color="auto"/>
          <w:between w:val="single" w:sz="2" w:space="1" w:color="auto"/>
        </w:pBdr>
        <w:tabs>
          <w:tab w:val="left" w:pos="-1843"/>
          <w:tab w:val="left" w:pos="1843"/>
          <w:tab w:val="left" w:pos="5103"/>
          <w:tab w:val="left" w:pos="8647"/>
        </w:tabs>
        <w:spacing w:line="280" w:lineRule="exact"/>
        <w:ind w:left="6521" w:right="-28" w:hanging="6521"/>
        <w:rPr>
          <w:rFonts w:ascii="Arial" w:hAnsi="Arial" w:cs="Arial"/>
          <w:lang w:val="fr-FR"/>
        </w:rPr>
      </w:pPr>
      <w:r w:rsidRPr="00E41FF1">
        <w:rPr>
          <w:rFonts w:ascii="Arial" w:hAnsi="Arial"/>
          <w:sz w:val="14"/>
          <w:szCs w:val="14"/>
          <w:lang w:val="fr-FR"/>
        </w:rPr>
        <w:t>Teléfono / Phone:</w:t>
      </w:r>
      <w:r w:rsidRPr="00E41FF1">
        <w:rPr>
          <w:lang w:val="fr-FR"/>
        </w:rPr>
        <w:tab/>
      </w:r>
      <w:r w:rsidRPr="00E41FF1">
        <w:rPr>
          <w:rFonts w:ascii="Arial" w:hAnsi="Arial"/>
          <w:sz w:val="18"/>
          <w:szCs w:val="18"/>
          <w:lang w:val="fr-FR"/>
        </w:rPr>
        <w:t>+49 931 909-4290 / +49 931 909-4835</w:t>
      </w:r>
      <w:r w:rsidRPr="00E41FF1">
        <w:rPr>
          <w:lang w:val="fr-FR"/>
        </w:rPr>
        <w:tab/>
      </w:r>
      <w:r w:rsidRPr="00E41FF1">
        <w:rPr>
          <w:rFonts w:ascii="Arial" w:hAnsi="Arial"/>
          <w:sz w:val="14"/>
          <w:szCs w:val="14"/>
          <w:lang w:val="fr-FR"/>
        </w:rPr>
        <w:t>E-Mail:</w:t>
      </w:r>
      <w:r w:rsidRPr="00E41FF1">
        <w:rPr>
          <w:lang w:val="fr-FR"/>
        </w:rPr>
        <w:tab/>
      </w:r>
      <w:r w:rsidRPr="00E41FF1">
        <w:rPr>
          <w:rFonts w:ascii="Arial" w:hAnsi="Arial"/>
          <w:sz w:val="18"/>
          <w:szCs w:val="18"/>
          <w:lang w:val="fr-FR"/>
        </w:rPr>
        <w:t>klaus.schmidt@kba.com</w:t>
      </w:r>
    </w:p>
    <w:p w:rsidR="002A7AB5" w:rsidRPr="0079724D" w:rsidRDefault="002A7AB5">
      <w:pPr>
        <w:pBdr>
          <w:bottom w:val="single" w:sz="2" w:space="0" w:color="auto"/>
          <w:between w:val="single" w:sz="2" w:space="1" w:color="auto"/>
        </w:pBdr>
        <w:tabs>
          <w:tab w:val="left" w:pos="-1843"/>
          <w:tab w:val="left" w:pos="1843"/>
          <w:tab w:val="left" w:pos="5103"/>
          <w:tab w:val="left" w:pos="6521"/>
          <w:tab w:val="left" w:pos="8647"/>
        </w:tabs>
        <w:spacing w:line="280" w:lineRule="exact"/>
        <w:ind w:right="-28"/>
        <w:rPr>
          <w:rFonts w:ascii="Arial" w:hAnsi="Arial" w:cs="Arial"/>
        </w:rPr>
      </w:pPr>
      <w:r>
        <w:rPr>
          <w:rFonts w:ascii="Arial" w:hAnsi="Arial"/>
          <w:sz w:val="14"/>
          <w:szCs w:val="14"/>
        </w:rPr>
        <w:t xml:space="preserve">Versión / </w:t>
      </w:r>
      <w:proofErr w:type="spellStart"/>
      <w:r>
        <w:rPr>
          <w:rFonts w:ascii="Arial" w:hAnsi="Arial"/>
          <w:sz w:val="14"/>
          <w:szCs w:val="14"/>
        </w:rPr>
        <w:t>Release</w:t>
      </w:r>
      <w:proofErr w:type="spellEnd"/>
      <w:r>
        <w:rPr>
          <w:rFonts w:ascii="Arial" w:hAnsi="Arial"/>
          <w:sz w:val="14"/>
          <w:szCs w:val="14"/>
        </w:rPr>
        <w:t>:</w:t>
      </w:r>
      <w:r>
        <w:tab/>
      </w:r>
      <w:r>
        <w:tab/>
      </w:r>
      <w:r>
        <w:rPr>
          <w:rFonts w:ascii="Arial" w:hAnsi="Arial"/>
          <w:sz w:val="14"/>
          <w:szCs w:val="14"/>
        </w:rPr>
        <w:t>Ref. / Ref.:</w:t>
      </w:r>
      <w:r>
        <w:tab/>
      </w:r>
      <w:r>
        <w:rPr>
          <w:rFonts w:ascii="Arial" w:hAnsi="Arial"/>
          <w:sz w:val="18"/>
          <w:szCs w:val="18"/>
        </w:rPr>
        <w:t>ZM/KSC</w:t>
      </w:r>
    </w:p>
    <w:p w:rsidR="002A7AB5" w:rsidRPr="0079724D" w:rsidRDefault="002A7AB5">
      <w:pPr>
        <w:pBdr>
          <w:bottom w:val="single" w:sz="2" w:space="0" w:color="auto"/>
          <w:between w:val="single" w:sz="2" w:space="1" w:color="auto"/>
        </w:pBdr>
        <w:tabs>
          <w:tab w:val="left" w:pos="-1843"/>
          <w:tab w:val="left" w:pos="1843"/>
          <w:tab w:val="left" w:pos="5103"/>
          <w:tab w:val="left" w:pos="6521"/>
          <w:tab w:val="left" w:pos="7290"/>
        </w:tabs>
        <w:spacing w:line="280" w:lineRule="exact"/>
        <w:ind w:right="-28"/>
        <w:rPr>
          <w:rFonts w:ascii="Arial" w:hAnsi="Arial" w:cs="Arial"/>
          <w:sz w:val="18"/>
          <w:szCs w:val="18"/>
        </w:rPr>
      </w:pPr>
      <w:r>
        <w:rPr>
          <w:rFonts w:ascii="Arial" w:hAnsi="Arial"/>
          <w:sz w:val="14"/>
          <w:szCs w:val="14"/>
        </w:rPr>
        <w:t xml:space="preserve">Imágenes / </w:t>
      </w:r>
      <w:proofErr w:type="spellStart"/>
      <w:r>
        <w:rPr>
          <w:rFonts w:ascii="Arial" w:hAnsi="Arial"/>
          <w:sz w:val="14"/>
          <w:szCs w:val="14"/>
        </w:rPr>
        <w:t>Photographs</w:t>
      </w:r>
      <w:proofErr w:type="spellEnd"/>
      <w:r>
        <w:rPr>
          <w:rFonts w:ascii="Arial" w:hAnsi="Arial"/>
          <w:sz w:val="14"/>
          <w:szCs w:val="14"/>
        </w:rPr>
        <w:t>:</w:t>
      </w:r>
      <w:r>
        <w:tab/>
      </w:r>
      <w:r>
        <w:rPr>
          <w:rFonts w:ascii="Arial" w:hAnsi="Arial"/>
          <w:sz w:val="18"/>
          <w:szCs w:val="18"/>
        </w:rPr>
        <w:t>3</w:t>
      </w:r>
      <w:r>
        <w:tab/>
      </w:r>
      <w:r>
        <w:rPr>
          <w:rFonts w:ascii="Arial" w:hAnsi="Arial"/>
          <w:sz w:val="14"/>
          <w:szCs w:val="14"/>
        </w:rPr>
        <w:t xml:space="preserve">páginas / </w:t>
      </w:r>
      <w:proofErr w:type="spellStart"/>
      <w:r>
        <w:rPr>
          <w:rFonts w:ascii="Arial" w:hAnsi="Arial"/>
          <w:sz w:val="14"/>
          <w:szCs w:val="14"/>
        </w:rPr>
        <w:t>Pages</w:t>
      </w:r>
      <w:proofErr w:type="spellEnd"/>
      <w:r>
        <w:rPr>
          <w:rFonts w:ascii="Arial" w:hAnsi="Arial"/>
          <w:sz w:val="14"/>
          <w:szCs w:val="14"/>
        </w:rPr>
        <w:t>:</w:t>
      </w:r>
      <w:r>
        <w:tab/>
      </w:r>
      <w:r>
        <w:rPr>
          <w:rFonts w:ascii="Arial" w:hAnsi="Arial"/>
          <w:sz w:val="18"/>
          <w:szCs w:val="18"/>
        </w:rPr>
        <w:t>7</w:t>
      </w:r>
    </w:p>
    <w:p w:rsidR="002A7AB5" w:rsidRPr="0079724D" w:rsidRDefault="002A7AB5">
      <w:pPr>
        <w:tabs>
          <w:tab w:val="left" w:pos="-1843"/>
          <w:tab w:val="left" w:pos="1276"/>
          <w:tab w:val="left" w:pos="2070"/>
          <w:tab w:val="left" w:pos="6663"/>
          <w:tab w:val="left" w:pos="6804"/>
          <w:tab w:val="left" w:pos="8647"/>
        </w:tabs>
        <w:spacing w:line="360" w:lineRule="auto"/>
        <w:ind w:right="-652"/>
      </w:pPr>
      <w:bookmarkStart w:id="0" w:name="_GoBack"/>
      <w:bookmarkEnd w:id="0"/>
    </w:p>
    <w:p w:rsidR="002A7AB5" w:rsidRPr="0079724D" w:rsidRDefault="00533B30" w:rsidP="002B68BE">
      <w:pPr>
        <w:pStyle w:val="berschrift8"/>
        <w:tabs>
          <w:tab w:val="left" w:pos="7655"/>
        </w:tabs>
        <w:ind w:right="2033"/>
      </w:pPr>
      <w:r>
        <w:t>Koenig &amp; Bauer presenta el informe del ejercicio 2014</w:t>
      </w:r>
    </w:p>
    <w:p w:rsidR="006C0B00" w:rsidRDefault="006C0B00" w:rsidP="002B68BE">
      <w:pPr>
        <w:pStyle w:val="berschrift5"/>
        <w:tabs>
          <w:tab w:val="left" w:pos="7655"/>
        </w:tabs>
        <w:spacing w:line="240" w:lineRule="auto"/>
        <w:ind w:right="2033"/>
        <w:rPr>
          <w:sz w:val="24"/>
          <w:szCs w:val="24"/>
        </w:rPr>
      </w:pPr>
    </w:p>
    <w:p w:rsidR="006C0B00" w:rsidRDefault="00AF072D" w:rsidP="002B68BE">
      <w:pPr>
        <w:pStyle w:val="berschrift5"/>
        <w:tabs>
          <w:tab w:val="left" w:pos="7655"/>
        </w:tabs>
        <w:spacing w:line="240" w:lineRule="auto"/>
        <w:ind w:right="2033"/>
        <w:rPr>
          <w:sz w:val="24"/>
          <w:szCs w:val="24"/>
        </w:rPr>
      </w:pPr>
      <w:r>
        <w:rPr>
          <w:sz w:val="24"/>
          <w:szCs w:val="24"/>
        </w:rPr>
        <w:t>Volumen de negocio según lo previsto y resultado del grupo pos</w:t>
      </w:r>
      <w:r>
        <w:rPr>
          <w:sz w:val="24"/>
          <w:szCs w:val="24"/>
        </w:rPr>
        <w:t>i</w:t>
      </w:r>
      <w:r>
        <w:rPr>
          <w:sz w:val="24"/>
          <w:szCs w:val="24"/>
        </w:rPr>
        <w:t>tivo</w:t>
      </w:r>
    </w:p>
    <w:p w:rsidR="006C0B00" w:rsidRPr="006C0B00" w:rsidRDefault="006C0B00" w:rsidP="002B68BE">
      <w:pPr>
        <w:tabs>
          <w:tab w:val="left" w:pos="7655"/>
        </w:tabs>
        <w:ind w:right="2033"/>
      </w:pPr>
    </w:p>
    <w:p w:rsidR="00533B30" w:rsidRDefault="00533B30" w:rsidP="002B68BE">
      <w:pPr>
        <w:pStyle w:val="Flietext"/>
        <w:numPr>
          <w:ilvl w:val="0"/>
          <w:numId w:val="3"/>
        </w:numPr>
        <w:tabs>
          <w:tab w:val="clear" w:pos="283"/>
          <w:tab w:val="clear" w:pos="360"/>
          <w:tab w:val="num" w:pos="284"/>
          <w:tab w:val="left" w:pos="570"/>
          <w:tab w:val="left" w:pos="7655"/>
        </w:tabs>
        <w:spacing w:line="360" w:lineRule="auto"/>
        <w:ind w:left="284" w:right="2033" w:hanging="284"/>
        <w:jc w:val="left"/>
        <w:outlineLvl w:val="1"/>
        <w:rPr>
          <w:rFonts w:ascii="Arial" w:hAnsi="Arial" w:cs="Arial"/>
          <w:b/>
          <w:bCs/>
          <w:color w:val="auto"/>
          <w:sz w:val="22"/>
          <w:szCs w:val="22"/>
        </w:rPr>
      </w:pPr>
      <w:r>
        <w:rPr>
          <w:rFonts w:ascii="Arial" w:hAnsi="Arial"/>
          <w:b/>
          <w:bCs/>
          <w:color w:val="auto"/>
          <w:sz w:val="22"/>
          <w:szCs w:val="22"/>
        </w:rPr>
        <w:t>Reestructuración con efectos positivos según el plan</w:t>
      </w:r>
    </w:p>
    <w:p w:rsidR="00533B30" w:rsidRDefault="004551B9" w:rsidP="002B68BE">
      <w:pPr>
        <w:pStyle w:val="Flietext"/>
        <w:numPr>
          <w:ilvl w:val="0"/>
          <w:numId w:val="3"/>
        </w:numPr>
        <w:tabs>
          <w:tab w:val="clear" w:pos="283"/>
          <w:tab w:val="clear" w:pos="360"/>
          <w:tab w:val="num" w:pos="284"/>
          <w:tab w:val="left" w:pos="570"/>
          <w:tab w:val="left" w:pos="7655"/>
        </w:tabs>
        <w:spacing w:line="360" w:lineRule="auto"/>
        <w:ind w:left="284" w:right="2033" w:hanging="284"/>
        <w:jc w:val="left"/>
        <w:outlineLvl w:val="1"/>
        <w:rPr>
          <w:rFonts w:ascii="Arial" w:hAnsi="Arial" w:cs="Arial"/>
          <w:b/>
          <w:bCs/>
          <w:color w:val="auto"/>
          <w:sz w:val="22"/>
          <w:szCs w:val="22"/>
        </w:rPr>
      </w:pPr>
      <w:r>
        <w:rPr>
          <w:rFonts w:ascii="Arial" w:hAnsi="Arial"/>
          <w:b/>
          <w:bCs/>
          <w:color w:val="auto"/>
          <w:sz w:val="22"/>
          <w:szCs w:val="22"/>
        </w:rPr>
        <w:t xml:space="preserve">Volumen de negocio del grupo al nivel del ejercicio anterior con 1.100 </w:t>
      </w:r>
      <w:proofErr w:type="spellStart"/>
      <w:r>
        <w:rPr>
          <w:rFonts w:ascii="Arial" w:hAnsi="Arial"/>
          <w:b/>
          <w:bCs/>
          <w:color w:val="auto"/>
          <w:sz w:val="22"/>
          <w:szCs w:val="22"/>
        </w:rPr>
        <w:t>mill</w:t>
      </w:r>
      <w:proofErr w:type="spellEnd"/>
      <w:r>
        <w:rPr>
          <w:rFonts w:ascii="Arial" w:hAnsi="Arial"/>
          <w:b/>
          <w:bCs/>
          <w:color w:val="auto"/>
          <w:sz w:val="22"/>
          <w:szCs w:val="22"/>
        </w:rPr>
        <w:t>. €</w:t>
      </w:r>
    </w:p>
    <w:p w:rsidR="00A05958" w:rsidRDefault="001F7926" w:rsidP="002B68BE">
      <w:pPr>
        <w:pStyle w:val="Flietext"/>
        <w:numPr>
          <w:ilvl w:val="0"/>
          <w:numId w:val="3"/>
        </w:numPr>
        <w:tabs>
          <w:tab w:val="clear" w:pos="283"/>
          <w:tab w:val="clear" w:pos="360"/>
          <w:tab w:val="num" w:pos="284"/>
          <w:tab w:val="left" w:pos="570"/>
          <w:tab w:val="left" w:pos="7655"/>
        </w:tabs>
        <w:spacing w:line="360" w:lineRule="auto"/>
        <w:ind w:left="284" w:right="2033" w:hanging="284"/>
        <w:jc w:val="left"/>
        <w:outlineLvl w:val="1"/>
        <w:rPr>
          <w:rFonts w:ascii="Arial" w:hAnsi="Arial" w:cs="Arial"/>
          <w:b/>
          <w:bCs/>
          <w:color w:val="auto"/>
          <w:sz w:val="22"/>
          <w:szCs w:val="22"/>
        </w:rPr>
      </w:pPr>
      <w:r>
        <w:rPr>
          <w:rFonts w:ascii="Arial" w:hAnsi="Arial"/>
          <w:b/>
          <w:bCs/>
          <w:color w:val="auto"/>
          <w:sz w:val="22"/>
          <w:szCs w:val="22"/>
        </w:rPr>
        <w:t xml:space="preserve">Resultados positivos de segmento en ambas áreas de negocio </w:t>
      </w:r>
    </w:p>
    <w:p w:rsidR="00A06976" w:rsidRPr="00341596" w:rsidRDefault="00AF072D" w:rsidP="00341596">
      <w:pPr>
        <w:pStyle w:val="Flietext"/>
        <w:numPr>
          <w:ilvl w:val="0"/>
          <w:numId w:val="3"/>
        </w:numPr>
        <w:tabs>
          <w:tab w:val="clear" w:pos="283"/>
          <w:tab w:val="clear" w:pos="360"/>
          <w:tab w:val="num" w:pos="284"/>
          <w:tab w:val="left" w:pos="570"/>
          <w:tab w:val="left" w:pos="7655"/>
        </w:tabs>
        <w:spacing w:line="360" w:lineRule="auto"/>
        <w:ind w:left="284" w:right="2033" w:hanging="284"/>
        <w:jc w:val="left"/>
        <w:outlineLvl w:val="1"/>
        <w:rPr>
          <w:rFonts w:ascii="Arial" w:hAnsi="Arial" w:cs="Arial"/>
          <w:b/>
          <w:bCs/>
          <w:color w:val="auto"/>
          <w:sz w:val="22"/>
          <w:szCs w:val="22"/>
        </w:rPr>
      </w:pPr>
      <w:r>
        <w:rPr>
          <w:rFonts w:ascii="Arial" w:hAnsi="Arial"/>
          <w:b/>
          <w:bCs/>
          <w:color w:val="auto"/>
          <w:sz w:val="22"/>
          <w:szCs w:val="22"/>
        </w:rPr>
        <w:t xml:space="preserve">Resultado de explotación de 14,1 </w:t>
      </w:r>
      <w:proofErr w:type="spellStart"/>
      <w:r>
        <w:rPr>
          <w:rFonts w:ascii="Arial" w:hAnsi="Arial"/>
          <w:b/>
          <w:bCs/>
          <w:color w:val="auto"/>
          <w:sz w:val="22"/>
          <w:szCs w:val="22"/>
        </w:rPr>
        <w:t>mill</w:t>
      </w:r>
      <w:proofErr w:type="spellEnd"/>
      <w:r>
        <w:rPr>
          <w:rFonts w:ascii="Arial" w:hAnsi="Arial"/>
          <w:b/>
          <w:bCs/>
          <w:color w:val="auto"/>
          <w:sz w:val="22"/>
          <w:szCs w:val="22"/>
        </w:rPr>
        <w:t xml:space="preserve">. € y </w:t>
      </w:r>
      <w:proofErr w:type="spellStart"/>
      <w:r>
        <w:rPr>
          <w:rFonts w:ascii="Arial" w:hAnsi="Arial"/>
          <w:b/>
          <w:bCs/>
          <w:color w:val="auto"/>
          <w:sz w:val="22"/>
          <w:szCs w:val="22"/>
        </w:rPr>
        <w:t>benficios</w:t>
      </w:r>
      <w:proofErr w:type="spellEnd"/>
      <w:r>
        <w:rPr>
          <w:rFonts w:ascii="Arial" w:hAnsi="Arial"/>
          <w:b/>
          <w:bCs/>
          <w:color w:val="auto"/>
          <w:sz w:val="22"/>
          <w:szCs w:val="22"/>
        </w:rPr>
        <w:t xml:space="preserve"> antes de impue</w:t>
      </w:r>
      <w:r>
        <w:rPr>
          <w:rFonts w:ascii="Arial" w:hAnsi="Arial"/>
          <w:b/>
          <w:bCs/>
          <w:color w:val="auto"/>
          <w:sz w:val="22"/>
          <w:szCs w:val="22"/>
        </w:rPr>
        <w:t>s</w:t>
      </w:r>
      <w:r>
        <w:rPr>
          <w:rFonts w:ascii="Arial" w:hAnsi="Arial"/>
          <w:b/>
          <w:bCs/>
          <w:color w:val="auto"/>
          <w:sz w:val="22"/>
          <w:szCs w:val="22"/>
        </w:rPr>
        <w:t xml:space="preserve">tos de 5,5 </w:t>
      </w:r>
      <w:proofErr w:type="spellStart"/>
      <w:r>
        <w:rPr>
          <w:rFonts w:ascii="Arial" w:hAnsi="Arial"/>
          <w:b/>
          <w:bCs/>
          <w:color w:val="auto"/>
          <w:sz w:val="22"/>
          <w:szCs w:val="22"/>
        </w:rPr>
        <w:t>mill</w:t>
      </w:r>
      <w:proofErr w:type="spellEnd"/>
      <w:r>
        <w:rPr>
          <w:rFonts w:ascii="Arial" w:hAnsi="Arial"/>
          <w:b/>
          <w:bCs/>
          <w:color w:val="auto"/>
          <w:sz w:val="22"/>
          <w:szCs w:val="22"/>
        </w:rPr>
        <w:t xml:space="preserve">. €  </w:t>
      </w:r>
    </w:p>
    <w:p w:rsidR="00AF072D" w:rsidRPr="00AF072D" w:rsidRDefault="00AC1ED1" w:rsidP="002B68BE">
      <w:pPr>
        <w:pStyle w:val="Flietext"/>
        <w:numPr>
          <w:ilvl w:val="0"/>
          <w:numId w:val="3"/>
        </w:numPr>
        <w:tabs>
          <w:tab w:val="clear" w:pos="283"/>
          <w:tab w:val="clear" w:pos="360"/>
          <w:tab w:val="num" w:pos="284"/>
          <w:tab w:val="left" w:pos="570"/>
          <w:tab w:val="left" w:pos="7655"/>
        </w:tabs>
        <w:spacing w:line="360" w:lineRule="auto"/>
        <w:ind w:left="284" w:right="2033" w:hanging="284"/>
        <w:jc w:val="left"/>
        <w:outlineLvl w:val="1"/>
        <w:rPr>
          <w:rFonts w:ascii="Arial" w:hAnsi="Arial" w:cs="Arial"/>
          <w:b/>
          <w:sz w:val="22"/>
          <w:szCs w:val="22"/>
        </w:rPr>
      </w:pPr>
      <w:r>
        <w:rPr>
          <w:rFonts w:ascii="Arial" w:hAnsi="Arial"/>
          <w:b/>
          <w:bCs/>
          <w:color w:val="auto"/>
          <w:sz w:val="22"/>
          <w:szCs w:val="22"/>
        </w:rPr>
        <w:t xml:space="preserve">Flujo de caja operativo superior a 43 </w:t>
      </w:r>
      <w:proofErr w:type="spellStart"/>
      <w:r>
        <w:rPr>
          <w:rFonts w:ascii="Arial" w:hAnsi="Arial"/>
          <w:b/>
          <w:bCs/>
          <w:color w:val="auto"/>
          <w:sz w:val="22"/>
          <w:szCs w:val="22"/>
        </w:rPr>
        <w:t>mill</w:t>
      </w:r>
      <w:proofErr w:type="spellEnd"/>
      <w:r>
        <w:rPr>
          <w:rFonts w:ascii="Arial" w:hAnsi="Arial"/>
          <w:b/>
          <w:bCs/>
          <w:color w:val="auto"/>
          <w:sz w:val="22"/>
          <w:szCs w:val="22"/>
        </w:rPr>
        <w:t>. € y elevada liquidez neta</w:t>
      </w:r>
    </w:p>
    <w:p w:rsidR="00FA393B" w:rsidRPr="00245B7D" w:rsidRDefault="00245B7D" w:rsidP="002B68BE">
      <w:pPr>
        <w:pStyle w:val="Flietext"/>
        <w:numPr>
          <w:ilvl w:val="0"/>
          <w:numId w:val="3"/>
        </w:numPr>
        <w:tabs>
          <w:tab w:val="clear" w:pos="283"/>
          <w:tab w:val="clear" w:pos="360"/>
          <w:tab w:val="num" w:pos="284"/>
          <w:tab w:val="left" w:pos="570"/>
          <w:tab w:val="left" w:pos="7655"/>
        </w:tabs>
        <w:spacing w:line="360" w:lineRule="auto"/>
        <w:ind w:left="284" w:right="2033" w:hanging="284"/>
        <w:jc w:val="left"/>
        <w:outlineLvl w:val="1"/>
        <w:rPr>
          <w:rFonts w:ascii="Arial" w:hAnsi="Arial" w:cs="Arial"/>
          <w:b/>
          <w:sz w:val="22"/>
          <w:szCs w:val="22"/>
        </w:rPr>
      </w:pPr>
      <w:r>
        <w:rPr>
          <w:rFonts w:ascii="Arial" w:hAnsi="Arial"/>
          <w:b/>
          <w:sz w:val="22"/>
          <w:szCs w:val="22"/>
        </w:rPr>
        <w:t xml:space="preserve">Perspectiva 2015: volumen de negocio similar con margen EBT más elevado </w:t>
      </w:r>
    </w:p>
    <w:p w:rsidR="00367796" w:rsidRPr="0079724D" w:rsidRDefault="00367796" w:rsidP="002B68BE">
      <w:pPr>
        <w:pStyle w:val="Flietext"/>
        <w:tabs>
          <w:tab w:val="left" w:pos="570"/>
          <w:tab w:val="left" w:pos="7655"/>
        </w:tabs>
        <w:spacing w:line="360" w:lineRule="auto"/>
        <w:ind w:right="2033"/>
        <w:jc w:val="left"/>
        <w:outlineLvl w:val="1"/>
        <w:rPr>
          <w:rFonts w:ascii="Arial" w:hAnsi="Arial" w:cs="Arial"/>
          <w:sz w:val="22"/>
          <w:szCs w:val="22"/>
          <w:u w:val="single"/>
        </w:rPr>
      </w:pPr>
    </w:p>
    <w:p w:rsidR="00564475" w:rsidRDefault="002A7AB5" w:rsidP="002B68BE">
      <w:pPr>
        <w:pStyle w:val="Flietext"/>
        <w:tabs>
          <w:tab w:val="left" w:pos="570"/>
          <w:tab w:val="left" w:pos="7655"/>
        </w:tabs>
        <w:spacing w:line="360" w:lineRule="auto"/>
        <w:ind w:right="2033"/>
        <w:jc w:val="left"/>
        <w:outlineLvl w:val="1"/>
        <w:rPr>
          <w:rFonts w:ascii="Arial" w:hAnsi="Arial" w:cs="Arial"/>
          <w:sz w:val="22"/>
          <w:szCs w:val="22"/>
        </w:rPr>
      </w:pPr>
      <w:proofErr w:type="spellStart"/>
      <w:r>
        <w:rPr>
          <w:rFonts w:ascii="Arial" w:hAnsi="Arial"/>
          <w:sz w:val="22"/>
          <w:szCs w:val="22"/>
          <w:u w:val="single"/>
        </w:rPr>
        <w:t>Würzburg</w:t>
      </w:r>
      <w:proofErr w:type="spellEnd"/>
      <w:r>
        <w:rPr>
          <w:rFonts w:ascii="Arial" w:hAnsi="Arial"/>
          <w:sz w:val="22"/>
          <w:szCs w:val="22"/>
          <w:u w:val="single"/>
        </w:rPr>
        <w:t>.</w:t>
      </w:r>
      <w:r>
        <w:rPr>
          <w:rFonts w:ascii="Arial" w:hAnsi="Arial"/>
          <w:sz w:val="22"/>
          <w:szCs w:val="22"/>
        </w:rPr>
        <w:t xml:space="preserve"> El 20 de marzo, Koenig &amp; Bauer AG (KBA) presentó las cifras del grupo correspondientes al ejercicio 2014. Con 1.100 </w:t>
      </w:r>
      <w:proofErr w:type="spellStart"/>
      <w:r>
        <w:rPr>
          <w:rFonts w:ascii="Arial" w:hAnsi="Arial"/>
          <w:sz w:val="22"/>
          <w:szCs w:val="22"/>
        </w:rPr>
        <w:t>mill</w:t>
      </w:r>
      <w:proofErr w:type="spellEnd"/>
      <w:r>
        <w:rPr>
          <w:rFonts w:ascii="Arial" w:hAnsi="Arial"/>
          <w:sz w:val="22"/>
          <w:szCs w:val="22"/>
        </w:rPr>
        <w:t xml:space="preserve">. €, el volumen de negocio se sitúa en la parte alta del pronóstico (2013: 1.099,7 </w:t>
      </w:r>
      <w:proofErr w:type="spellStart"/>
      <w:r>
        <w:rPr>
          <w:rFonts w:ascii="Arial" w:hAnsi="Arial"/>
          <w:sz w:val="22"/>
          <w:szCs w:val="22"/>
        </w:rPr>
        <w:t>mill</w:t>
      </w:r>
      <w:proofErr w:type="spellEnd"/>
      <w:r>
        <w:rPr>
          <w:rFonts w:ascii="Arial" w:hAnsi="Arial"/>
          <w:sz w:val="22"/>
          <w:szCs w:val="22"/>
        </w:rPr>
        <w:t>. €). La r</w:t>
      </w:r>
      <w:r>
        <w:rPr>
          <w:rFonts w:ascii="Arial" w:hAnsi="Arial"/>
          <w:sz w:val="22"/>
          <w:szCs w:val="22"/>
        </w:rPr>
        <w:t>e</w:t>
      </w:r>
      <w:r>
        <w:rPr>
          <w:rFonts w:ascii="Arial" w:hAnsi="Arial"/>
          <w:sz w:val="22"/>
          <w:szCs w:val="22"/>
        </w:rPr>
        <w:t>estructuración del grupo iniciada a principios de 2014 por el fabricante de m</w:t>
      </w:r>
      <w:r>
        <w:rPr>
          <w:rFonts w:ascii="Arial" w:hAnsi="Arial"/>
          <w:sz w:val="22"/>
          <w:szCs w:val="22"/>
        </w:rPr>
        <w:t>á</w:t>
      </w:r>
      <w:r>
        <w:rPr>
          <w:rFonts w:ascii="Arial" w:hAnsi="Arial"/>
          <w:sz w:val="22"/>
          <w:szCs w:val="22"/>
        </w:rPr>
        <w:t xml:space="preserve">quinas de impresión muestra sus primeros efectos positivos. El resultado de explotación –que el ejercicio anterior aún estaba lastrado por los gastos de reestructuración superiores a 155 </w:t>
      </w:r>
      <w:proofErr w:type="spellStart"/>
      <w:r>
        <w:rPr>
          <w:rFonts w:ascii="Arial" w:hAnsi="Arial"/>
          <w:sz w:val="22"/>
          <w:szCs w:val="22"/>
        </w:rPr>
        <w:t>mill</w:t>
      </w:r>
      <w:proofErr w:type="spellEnd"/>
      <w:r>
        <w:rPr>
          <w:rFonts w:ascii="Arial" w:hAnsi="Arial"/>
          <w:sz w:val="22"/>
          <w:szCs w:val="22"/>
        </w:rPr>
        <w:t>. €– en 2014 fue positivo tanto en el segmento de máquinas de pliegos como en las máquinas de bobina y esp</w:t>
      </w:r>
      <w:r>
        <w:rPr>
          <w:rFonts w:ascii="Arial" w:hAnsi="Arial"/>
          <w:sz w:val="22"/>
          <w:szCs w:val="22"/>
        </w:rPr>
        <w:t>e</w:t>
      </w:r>
      <w:r>
        <w:rPr>
          <w:rFonts w:ascii="Arial" w:hAnsi="Arial"/>
          <w:sz w:val="22"/>
          <w:szCs w:val="22"/>
        </w:rPr>
        <w:t xml:space="preserve">ciales. Y, a pesar de los nuevos gastos extraordinarios de 10,0 </w:t>
      </w:r>
      <w:proofErr w:type="spellStart"/>
      <w:r>
        <w:rPr>
          <w:rFonts w:ascii="Arial" w:hAnsi="Arial"/>
          <w:sz w:val="22"/>
          <w:szCs w:val="22"/>
        </w:rPr>
        <w:t>mill</w:t>
      </w:r>
      <w:proofErr w:type="spellEnd"/>
      <w:r>
        <w:rPr>
          <w:rFonts w:ascii="Arial" w:hAnsi="Arial"/>
          <w:sz w:val="22"/>
          <w:szCs w:val="22"/>
        </w:rPr>
        <w:t xml:space="preserve">. €, fue considerablemente mejor que </w:t>
      </w:r>
      <w:r w:rsidR="00DA5ACB">
        <w:rPr>
          <w:rFonts w:ascii="Arial" w:hAnsi="Arial"/>
          <w:sz w:val="22"/>
          <w:szCs w:val="22"/>
        </w:rPr>
        <w:t xml:space="preserve">previsto </w:t>
      </w:r>
      <w:r>
        <w:rPr>
          <w:rFonts w:ascii="Arial" w:hAnsi="Arial"/>
          <w:sz w:val="22"/>
          <w:szCs w:val="22"/>
        </w:rPr>
        <w:t xml:space="preserve">hace un año con +14,1 </w:t>
      </w:r>
      <w:proofErr w:type="spellStart"/>
      <w:r>
        <w:rPr>
          <w:rFonts w:ascii="Arial" w:hAnsi="Arial"/>
          <w:sz w:val="22"/>
          <w:szCs w:val="22"/>
        </w:rPr>
        <w:t>mill</w:t>
      </w:r>
      <w:proofErr w:type="spellEnd"/>
      <w:r>
        <w:rPr>
          <w:rFonts w:ascii="Arial" w:hAnsi="Arial"/>
          <w:sz w:val="22"/>
          <w:szCs w:val="22"/>
        </w:rPr>
        <w:t>. €. El resu</w:t>
      </w:r>
      <w:r>
        <w:rPr>
          <w:rFonts w:ascii="Arial" w:hAnsi="Arial"/>
          <w:sz w:val="22"/>
          <w:szCs w:val="22"/>
        </w:rPr>
        <w:t>l</w:t>
      </w:r>
      <w:r>
        <w:rPr>
          <w:rFonts w:ascii="Arial" w:hAnsi="Arial"/>
          <w:sz w:val="22"/>
          <w:szCs w:val="22"/>
        </w:rPr>
        <w:t xml:space="preserve">tado antes de impuestos (EBT) con 5,5 </w:t>
      </w:r>
      <w:proofErr w:type="spellStart"/>
      <w:r>
        <w:rPr>
          <w:rFonts w:ascii="Arial" w:hAnsi="Arial"/>
          <w:sz w:val="22"/>
          <w:szCs w:val="22"/>
        </w:rPr>
        <w:t>mill</w:t>
      </w:r>
      <w:proofErr w:type="spellEnd"/>
      <w:r>
        <w:rPr>
          <w:rFonts w:ascii="Arial" w:hAnsi="Arial"/>
          <w:sz w:val="22"/>
          <w:szCs w:val="22"/>
        </w:rPr>
        <w:t xml:space="preserve">. € y el resultado del grupo con +0,3 </w:t>
      </w:r>
      <w:proofErr w:type="spellStart"/>
      <w:r>
        <w:rPr>
          <w:rFonts w:ascii="Arial" w:hAnsi="Arial"/>
          <w:sz w:val="22"/>
          <w:szCs w:val="22"/>
        </w:rPr>
        <w:t>mill</w:t>
      </w:r>
      <w:proofErr w:type="spellEnd"/>
      <w:r>
        <w:rPr>
          <w:rFonts w:ascii="Arial" w:hAnsi="Arial"/>
          <w:sz w:val="22"/>
          <w:szCs w:val="22"/>
        </w:rPr>
        <w:t>. € también superan las previsiones.</w:t>
      </w:r>
    </w:p>
    <w:p w:rsidR="00564475" w:rsidRDefault="00564475" w:rsidP="002B68BE">
      <w:pPr>
        <w:pStyle w:val="Flietext"/>
        <w:tabs>
          <w:tab w:val="left" w:pos="570"/>
          <w:tab w:val="left" w:pos="7655"/>
        </w:tabs>
        <w:spacing w:line="360" w:lineRule="auto"/>
        <w:ind w:right="2033"/>
        <w:jc w:val="left"/>
        <w:outlineLvl w:val="1"/>
        <w:rPr>
          <w:rFonts w:ascii="Arial" w:hAnsi="Arial" w:cs="Arial"/>
          <w:sz w:val="22"/>
          <w:szCs w:val="22"/>
        </w:rPr>
      </w:pPr>
    </w:p>
    <w:p w:rsidR="005A7145" w:rsidRDefault="000358FC" w:rsidP="009D2D64">
      <w:pPr>
        <w:pStyle w:val="Flietext"/>
        <w:tabs>
          <w:tab w:val="left" w:pos="-3969"/>
          <w:tab w:val="left" w:pos="570"/>
        </w:tabs>
        <w:spacing w:line="360" w:lineRule="auto"/>
        <w:ind w:right="2175"/>
        <w:jc w:val="left"/>
        <w:outlineLvl w:val="1"/>
        <w:rPr>
          <w:rFonts w:ascii="Arial" w:hAnsi="Arial"/>
          <w:sz w:val="22"/>
          <w:szCs w:val="22"/>
        </w:rPr>
      </w:pPr>
      <w:r>
        <w:rPr>
          <w:rFonts w:ascii="Arial" w:hAnsi="Arial"/>
          <w:sz w:val="22"/>
          <w:szCs w:val="22"/>
        </w:rPr>
        <w:lastRenderedPageBreak/>
        <w:t>Claus Bolza-Schünemann, presidente de la Junta Directiva del fabricante de máquinas de impresión que pronto cumplirá 200 años, en su carta a los a</w:t>
      </w:r>
      <w:r>
        <w:rPr>
          <w:rFonts w:ascii="Arial" w:hAnsi="Arial"/>
          <w:sz w:val="22"/>
          <w:szCs w:val="22"/>
        </w:rPr>
        <w:t>c</w:t>
      </w:r>
      <w:r>
        <w:rPr>
          <w:rFonts w:ascii="Arial" w:hAnsi="Arial"/>
          <w:sz w:val="22"/>
          <w:szCs w:val="22"/>
        </w:rPr>
        <w:t>cionistas: “En el marco del mayor proyecto de reestructuración de nuestra historia empresarial reciente, durante los primeros doce meses hemos ava</w:t>
      </w:r>
      <w:r>
        <w:rPr>
          <w:rFonts w:ascii="Arial" w:hAnsi="Arial"/>
          <w:sz w:val="22"/>
          <w:szCs w:val="22"/>
        </w:rPr>
        <w:t>n</w:t>
      </w:r>
      <w:r>
        <w:rPr>
          <w:rFonts w:ascii="Arial" w:hAnsi="Arial"/>
          <w:sz w:val="22"/>
          <w:szCs w:val="22"/>
        </w:rPr>
        <w:t>zado a buen ritmo y podemos congratularnos de haber alcanzado resultados positivos antes de lo esperado”.</w:t>
      </w:r>
    </w:p>
    <w:p w:rsidR="00DA5ACB" w:rsidRDefault="00DA5ACB" w:rsidP="009D2D64">
      <w:pPr>
        <w:pStyle w:val="Flietext"/>
        <w:tabs>
          <w:tab w:val="left" w:pos="-3969"/>
          <w:tab w:val="left" w:pos="570"/>
        </w:tabs>
        <w:spacing w:line="360" w:lineRule="auto"/>
        <w:ind w:right="2175"/>
        <w:jc w:val="left"/>
        <w:outlineLvl w:val="1"/>
        <w:rPr>
          <w:rFonts w:ascii="Arial" w:hAnsi="Arial" w:cs="Arial"/>
          <w:sz w:val="22"/>
          <w:szCs w:val="22"/>
        </w:rPr>
      </w:pPr>
    </w:p>
    <w:p w:rsidR="00720B83" w:rsidRDefault="00F23FD4" w:rsidP="002B68BE">
      <w:pPr>
        <w:pStyle w:val="Flietext"/>
        <w:tabs>
          <w:tab w:val="left" w:pos="570"/>
          <w:tab w:val="left" w:pos="7655"/>
        </w:tabs>
        <w:spacing w:line="360" w:lineRule="auto"/>
        <w:ind w:right="2033"/>
        <w:jc w:val="left"/>
        <w:outlineLvl w:val="1"/>
        <w:rPr>
          <w:rFonts w:ascii="Arial" w:hAnsi="Arial" w:cs="Arial"/>
          <w:b/>
          <w:sz w:val="22"/>
          <w:szCs w:val="22"/>
        </w:rPr>
      </w:pPr>
      <w:r>
        <w:rPr>
          <w:rFonts w:ascii="Arial" w:hAnsi="Arial"/>
          <w:b/>
          <w:sz w:val="22"/>
          <w:szCs w:val="22"/>
        </w:rPr>
        <w:t>El plus de pedidos en las máquinas de pliegos no puede compensar del todo el retroceso en las máquinas de bobina y especiales</w:t>
      </w:r>
    </w:p>
    <w:p w:rsidR="001D2C13" w:rsidRDefault="00220181" w:rsidP="00220181">
      <w:pPr>
        <w:pStyle w:val="Flietext"/>
        <w:tabs>
          <w:tab w:val="left" w:pos="570"/>
        </w:tabs>
        <w:spacing w:line="360" w:lineRule="auto"/>
        <w:ind w:right="1891"/>
        <w:jc w:val="left"/>
        <w:outlineLvl w:val="1"/>
        <w:rPr>
          <w:rFonts w:ascii="Arial" w:hAnsi="Arial" w:cs="Arial"/>
          <w:sz w:val="22"/>
          <w:szCs w:val="22"/>
        </w:rPr>
      </w:pPr>
      <w:r>
        <w:rPr>
          <w:rFonts w:ascii="Arial" w:hAnsi="Arial"/>
          <w:sz w:val="22"/>
          <w:szCs w:val="22"/>
        </w:rPr>
        <w:t>La entrada de pedidos durante el ejercicio 2014 ha estado marcada por efectos externos negativos: los múltiples conflictos en el mundo, la débil coyuntura en partes de Europa y los importantes países emergentes, así como la desacel</w:t>
      </w:r>
      <w:r>
        <w:rPr>
          <w:rFonts w:ascii="Arial" w:hAnsi="Arial"/>
          <w:sz w:val="22"/>
          <w:szCs w:val="22"/>
        </w:rPr>
        <w:t>e</w:t>
      </w:r>
      <w:r>
        <w:rPr>
          <w:rFonts w:ascii="Arial" w:hAnsi="Arial"/>
          <w:sz w:val="22"/>
          <w:szCs w:val="22"/>
        </w:rPr>
        <w:t>ración del crecimiento en China. En este sentido, la evolución del área de pli</w:t>
      </w:r>
      <w:r>
        <w:rPr>
          <w:rFonts w:ascii="Arial" w:hAnsi="Arial"/>
          <w:sz w:val="22"/>
          <w:szCs w:val="22"/>
        </w:rPr>
        <w:t>e</w:t>
      </w:r>
      <w:r>
        <w:rPr>
          <w:rFonts w:ascii="Arial" w:hAnsi="Arial"/>
          <w:sz w:val="22"/>
          <w:szCs w:val="22"/>
        </w:rPr>
        <w:t xml:space="preserve">gos resulta especialmente satisfactoria, ya que –en contra de la tendencia del sector– la entrada de pedidos ha podido aumentar ligeramente respecto de 2013 de 608,0 a 610,1 </w:t>
      </w:r>
      <w:proofErr w:type="spellStart"/>
      <w:r>
        <w:rPr>
          <w:rFonts w:ascii="Arial" w:hAnsi="Arial"/>
          <w:sz w:val="22"/>
          <w:szCs w:val="22"/>
        </w:rPr>
        <w:t>mill</w:t>
      </w:r>
      <w:proofErr w:type="spellEnd"/>
      <w:r>
        <w:rPr>
          <w:rFonts w:ascii="Arial" w:hAnsi="Arial"/>
          <w:sz w:val="22"/>
          <w:szCs w:val="22"/>
        </w:rPr>
        <w:t xml:space="preserve">. € gracias al sólido posicionamiento en la impresión sobre metal y de cajas plegables. Paralelamente, ha continuado la tendencia en la impresión de periódicos y publicaciones y, junto con una ralentización de la demanda en la impresión de valores, provocó un retroceso del 14,2 % en la entrada de pedidos en comparación con el ejercicio anterior, situándose en 346,8 </w:t>
      </w:r>
      <w:proofErr w:type="spellStart"/>
      <w:r>
        <w:rPr>
          <w:rFonts w:ascii="Arial" w:hAnsi="Arial"/>
          <w:sz w:val="22"/>
          <w:szCs w:val="22"/>
        </w:rPr>
        <w:t>mill</w:t>
      </w:r>
      <w:proofErr w:type="spellEnd"/>
      <w:r>
        <w:rPr>
          <w:rFonts w:ascii="Arial" w:hAnsi="Arial"/>
          <w:sz w:val="22"/>
          <w:szCs w:val="22"/>
        </w:rPr>
        <w:t>. €. En conjunto, el plus de pedidos en el área de pliegos no ha pod</w:t>
      </w:r>
      <w:r>
        <w:rPr>
          <w:rFonts w:ascii="Arial" w:hAnsi="Arial"/>
          <w:sz w:val="22"/>
          <w:szCs w:val="22"/>
        </w:rPr>
        <w:t>i</w:t>
      </w:r>
      <w:r>
        <w:rPr>
          <w:rFonts w:ascii="Arial" w:hAnsi="Arial"/>
          <w:sz w:val="22"/>
          <w:szCs w:val="22"/>
        </w:rPr>
        <w:t xml:space="preserve">do compensar el retroceso en el área de máquinas de bobina y especiales y, con 956,9 </w:t>
      </w:r>
      <w:proofErr w:type="spellStart"/>
      <w:r>
        <w:rPr>
          <w:rFonts w:ascii="Arial" w:hAnsi="Arial"/>
          <w:sz w:val="22"/>
          <w:szCs w:val="22"/>
        </w:rPr>
        <w:t>mill</w:t>
      </w:r>
      <w:proofErr w:type="spellEnd"/>
      <w:r>
        <w:rPr>
          <w:rFonts w:ascii="Arial" w:hAnsi="Arial"/>
          <w:sz w:val="22"/>
          <w:szCs w:val="22"/>
        </w:rPr>
        <w:t>. €, los nuevos pedidos del grupo se situaron un 5,5 % por debajo de la cifra del ejercicio anterior.</w:t>
      </w:r>
    </w:p>
    <w:p w:rsidR="001D2C13" w:rsidRDefault="001D2C13">
      <w:pPr>
        <w:pStyle w:val="Flietext"/>
        <w:tabs>
          <w:tab w:val="left" w:pos="570"/>
          <w:tab w:val="left" w:pos="7655"/>
        </w:tabs>
        <w:spacing w:line="360" w:lineRule="auto"/>
        <w:ind w:right="2033"/>
        <w:jc w:val="left"/>
        <w:outlineLvl w:val="1"/>
        <w:rPr>
          <w:rFonts w:ascii="Arial" w:hAnsi="Arial" w:cs="Arial"/>
          <w:sz w:val="22"/>
          <w:szCs w:val="22"/>
        </w:rPr>
      </w:pPr>
    </w:p>
    <w:p w:rsidR="00E75BA4" w:rsidRDefault="005F571F">
      <w:pPr>
        <w:pStyle w:val="Flietext"/>
        <w:tabs>
          <w:tab w:val="left" w:pos="570"/>
          <w:tab w:val="left" w:pos="7655"/>
        </w:tabs>
        <w:spacing w:line="360" w:lineRule="auto"/>
        <w:ind w:right="2033"/>
        <w:jc w:val="left"/>
        <w:outlineLvl w:val="1"/>
        <w:rPr>
          <w:rFonts w:ascii="Arial" w:hAnsi="Arial" w:cs="Arial"/>
          <w:sz w:val="22"/>
          <w:szCs w:val="22"/>
        </w:rPr>
      </w:pPr>
      <w:r>
        <w:rPr>
          <w:rFonts w:ascii="Arial" w:hAnsi="Arial"/>
          <w:sz w:val="22"/>
          <w:szCs w:val="22"/>
        </w:rPr>
        <w:t xml:space="preserve">En el marco del programa de reestructuración </w:t>
      </w:r>
      <w:proofErr w:type="spellStart"/>
      <w:r>
        <w:rPr>
          <w:rFonts w:ascii="Arial" w:hAnsi="Arial"/>
          <w:sz w:val="22"/>
          <w:szCs w:val="22"/>
        </w:rPr>
        <w:t>Fit@All</w:t>
      </w:r>
      <w:proofErr w:type="spellEnd"/>
      <w:r>
        <w:rPr>
          <w:rFonts w:ascii="Arial" w:hAnsi="Arial"/>
          <w:sz w:val="22"/>
          <w:szCs w:val="22"/>
        </w:rPr>
        <w:t>, la Junta Directiva ha iniciado las medidas necesarias y en gran parte ya las ha implementado: d</w:t>
      </w:r>
      <w:r>
        <w:rPr>
          <w:rFonts w:ascii="Arial" w:hAnsi="Arial"/>
          <w:sz w:val="22"/>
          <w:szCs w:val="22"/>
        </w:rPr>
        <w:t>e</w:t>
      </w:r>
      <w:r>
        <w:rPr>
          <w:rFonts w:ascii="Arial" w:hAnsi="Arial"/>
          <w:sz w:val="22"/>
          <w:szCs w:val="22"/>
        </w:rPr>
        <w:t>ben poner fin a la dependencia de mercados en contracción, como la impr</w:t>
      </w:r>
      <w:r>
        <w:rPr>
          <w:rFonts w:ascii="Arial" w:hAnsi="Arial"/>
          <w:sz w:val="22"/>
          <w:szCs w:val="22"/>
        </w:rPr>
        <w:t>e</w:t>
      </w:r>
      <w:r>
        <w:rPr>
          <w:rFonts w:ascii="Arial" w:hAnsi="Arial"/>
          <w:sz w:val="22"/>
          <w:szCs w:val="22"/>
        </w:rPr>
        <w:t>sión de periódicos y publicaciones. La Junta Directiva espera que de ello se derive una carga de trabajo más estable y una situación de resultados ad</w:t>
      </w:r>
      <w:r>
        <w:rPr>
          <w:rFonts w:ascii="Arial" w:hAnsi="Arial"/>
          <w:sz w:val="22"/>
          <w:szCs w:val="22"/>
        </w:rPr>
        <w:t>e</w:t>
      </w:r>
      <w:r>
        <w:rPr>
          <w:rFonts w:ascii="Arial" w:hAnsi="Arial"/>
          <w:sz w:val="22"/>
          <w:szCs w:val="22"/>
        </w:rPr>
        <w:t xml:space="preserve">cuada también en estas unidades de negocio. A finales de año, los libros del grupo arrojaban un volumen de pedidos por valor de 417,3 </w:t>
      </w:r>
      <w:proofErr w:type="spellStart"/>
      <w:r>
        <w:rPr>
          <w:rFonts w:ascii="Arial" w:hAnsi="Arial"/>
          <w:sz w:val="22"/>
          <w:szCs w:val="22"/>
        </w:rPr>
        <w:t>mill</w:t>
      </w:r>
      <w:proofErr w:type="spellEnd"/>
      <w:r>
        <w:rPr>
          <w:rFonts w:ascii="Arial" w:hAnsi="Arial"/>
          <w:sz w:val="22"/>
          <w:szCs w:val="22"/>
        </w:rPr>
        <w:t xml:space="preserve">. € respecto de los 560,5 </w:t>
      </w:r>
      <w:proofErr w:type="spellStart"/>
      <w:r>
        <w:rPr>
          <w:rFonts w:ascii="Arial" w:hAnsi="Arial"/>
          <w:sz w:val="22"/>
          <w:szCs w:val="22"/>
        </w:rPr>
        <w:t>mill</w:t>
      </w:r>
      <w:proofErr w:type="spellEnd"/>
      <w:r>
        <w:rPr>
          <w:rFonts w:ascii="Arial" w:hAnsi="Arial"/>
          <w:sz w:val="22"/>
          <w:szCs w:val="22"/>
        </w:rPr>
        <w:t>. € a finales de 2013.</w:t>
      </w:r>
    </w:p>
    <w:p w:rsidR="00E75BA4" w:rsidRDefault="00E75BA4" w:rsidP="002B68BE">
      <w:pPr>
        <w:pStyle w:val="Flietext"/>
        <w:tabs>
          <w:tab w:val="left" w:pos="570"/>
          <w:tab w:val="left" w:pos="7655"/>
        </w:tabs>
        <w:spacing w:line="360" w:lineRule="auto"/>
        <w:ind w:right="2033"/>
        <w:jc w:val="left"/>
        <w:outlineLvl w:val="1"/>
        <w:rPr>
          <w:rFonts w:ascii="Arial" w:hAnsi="Arial" w:cs="Arial"/>
          <w:sz w:val="22"/>
          <w:szCs w:val="22"/>
        </w:rPr>
      </w:pPr>
    </w:p>
    <w:p w:rsidR="00332027" w:rsidRDefault="00570EAE" w:rsidP="002B68BE">
      <w:pPr>
        <w:pStyle w:val="Flietext"/>
        <w:tabs>
          <w:tab w:val="left" w:pos="570"/>
          <w:tab w:val="left" w:pos="7655"/>
        </w:tabs>
        <w:spacing w:line="360" w:lineRule="auto"/>
        <w:ind w:right="2033"/>
        <w:jc w:val="left"/>
        <w:outlineLvl w:val="1"/>
        <w:rPr>
          <w:rFonts w:ascii="Arial" w:hAnsi="Arial" w:cs="Arial"/>
          <w:sz w:val="22"/>
          <w:szCs w:val="22"/>
        </w:rPr>
      </w:pPr>
      <w:r>
        <w:rPr>
          <w:rFonts w:ascii="Arial" w:hAnsi="Arial"/>
          <w:sz w:val="22"/>
          <w:szCs w:val="22"/>
        </w:rPr>
        <w:t>La evolución de los segmentos fue similar en lo relativo al volumen de neg</w:t>
      </w:r>
      <w:r>
        <w:rPr>
          <w:rFonts w:ascii="Arial" w:hAnsi="Arial"/>
          <w:sz w:val="22"/>
          <w:szCs w:val="22"/>
        </w:rPr>
        <w:t>o</w:t>
      </w:r>
      <w:r>
        <w:rPr>
          <w:rFonts w:ascii="Arial" w:hAnsi="Arial"/>
          <w:sz w:val="22"/>
          <w:szCs w:val="22"/>
        </w:rPr>
        <w:t xml:space="preserve">cio. Mientras que los ingresos con máquinas de pliegos también aumentaron un 3,3 % hasta los 590,6 </w:t>
      </w:r>
      <w:proofErr w:type="spellStart"/>
      <w:r>
        <w:rPr>
          <w:rFonts w:ascii="Arial" w:hAnsi="Arial"/>
          <w:sz w:val="22"/>
          <w:szCs w:val="22"/>
        </w:rPr>
        <w:t>mill</w:t>
      </w:r>
      <w:proofErr w:type="spellEnd"/>
      <w:r>
        <w:rPr>
          <w:rFonts w:ascii="Arial" w:hAnsi="Arial"/>
          <w:sz w:val="22"/>
          <w:szCs w:val="22"/>
        </w:rPr>
        <w:t xml:space="preserve">. € gracias al dinámico negocio de la impresión sobre metal, el volumen de negocio con las máquinas de bobina y especiales disminuyó un 3,5 % hasta los 509,5 </w:t>
      </w:r>
      <w:proofErr w:type="spellStart"/>
      <w:r>
        <w:rPr>
          <w:rFonts w:ascii="Arial" w:hAnsi="Arial"/>
          <w:sz w:val="22"/>
          <w:szCs w:val="22"/>
        </w:rPr>
        <w:t>mill</w:t>
      </w:r>
      <w:proofErr w:type="spellEnd"/>
      <w:r>
        <w:rPr>
          <w:rFonts w:ascii="Arial" w:hAnsi="Arial"/>
          <w:sz w:val="22"/>
          <w:szCs w:val="22"/>
        </w:rPr>
        <w:t>. €. Los ingresos menores en este sector pudieron compensarse en parte gracias a la consolidación por primera vez de KBA-</w:t>
      </w:r>
      <w:proofErr w:type="spellStart"/>
      <w:r>
        <w:rPr>
          <w:rFonts w:ascii="Arial" w:hAnsi="Arial"/>
          <w:sz w:val="22"/>
          <w:szCs w:val="22"/>
        </w:rPr>
        <w:t>Kamman</w:t>
      </w:r>
      <w:proofErr w:type="spellEnd"/>
      <w:r>
        <w:rPr>
          <w:rFonts w:ascii="Arial" w:hAnsi="Arial"/>
          <w:sz w:val="22"/>
          <w:szCs w:val="22"/>
        </w:rPr>
        <w:t xml:space="preserve"> y KBA-</w:t>
      </w:r>
      <w:proofErr w:type="spellStart"/>
      <w:r>
        <w:rPr>
          <w:rFonts w:ascii="Arial" w:hAnsi="Arial"/>
          <w:sz w:val="22"/>
          <w:szCs w:val="22"/>
        </w:rPr>
        <w:t>Flexotecnia</w:t>
      </w:r>
      <w:proofErr w:type="spellEnd"/>
      <w:r>
        <w:rPr>
          <w:rFonts w:ascii="Arial" w:hAnsi="Arial"/>
          <w:sz w:val="22"/>
          <w:szCs w:val="22"/>
        </w:rPr>
        <w:t xml:space="preserve"> durante todo el período del informe. Ambas empresas suministran máquinas especiales para la impresión de e</w:t>
      </w:r>
      <w:r>
        <w:rPr>
          <w:rFonts w:ascii="Arial" w:hAnsi="Arial"/>
          <w:sz w:val="22"/>
          <w:szCs w:val="22"/>
        </w:rPr>
        <w:t>n</w:t>
      </w:r>
      <w:r>
        <w:rPr>
          <w:rFonts w:ascii="Arial" w:hAnsi="Arial"/>
          <w:sz w:val="22"/>
          <w:szCs w:val="22"/>
        </w:rPr>
        <w:t>vases. KBA-</w:t>
      </w:r>
      <w:proofErr w:type="spellStart"/>
      <w:r>
        <w:rPr>
          <w:rFonts w:ascii="Arial" w:hAnsi="Arial"/>
          <w:sz w:val="22"/>
          <w:szCs w:val="22"/>
        </w:rPr>
        <w:t>Metronic</w:t>
      </w:r>
      <w:proofErr w:type="spellEnd"/>
      <w:r>
        <w:rPr>
          <w:rFonts w:ascii="Arial" w:hAnsi="Arial"/>
          <w:sz w:val="22"/>
          <w:szCs w:val="22"/>
        </w:rPr>
        <w:t xml:space="preserve"> –especializada en la impresión de marcación– ha regi</w:t>
      </w:r>
      <w:r>
        <w:rPr>
          <w:rFonts w:ascii="Arial" w:hAnsi="Arial"/>
          <w:sz w:val="22"/>
          <w:szCs w:val="22"/>
        </w:rPr>
        <w:t>s</w:t>
      </w:r>
      <w:r>
        <w:rPr>
          <w:rFonts w:ascii="Arial" w:hAnsi="Arial"/>
          <w:sz w:val="22"/>
          <w:szCs w:val="22"/>
        </w:rPr>
        <w:t xml:space="preserve">trado un leve crecimiento. El área de negocio de la impresión digital también contribuyó al volumen de negocio mediante la primera KBA </w:t>
      </w:r>
      <w:proofErr w:type="spellStart"/>
      <w:r>
        <w:rPr>
          <w:rFonts w:ascii="Arial" w:hAnsi="Arial"/>
          <w:sz w:val="22"/>
          <w:szCs w:val="22"/>
        </w:rPr>
        <w:t>RotaJET</w:t>
      </w:r>
      <w:proofErr w:type="spellEnd"/>
      <w:r>
        <w:rPr>
          <w:rFonts w:ascii="Arial" w:hAnsi="Arial"/>
          <w:sz w:val="22"/>
          <w:szCs w:val="22"/>
        </w:rPr>
        <w:t xml:space="preserve"> 168 e</w:t>
      </w:r>
      <w:r>
        <w:rPr>
          <w:rFonts w:ascii="Arial" w:hAnsi="Arial"/>
          <w:sz w:val="22"/>
          <w:szCs w:val="22"/>
        </w:rPr>
        <w:t>n</w:t>
      </w:r>
      <w:r>
        <w:rPr>
          <w:rFonts w:ascii="Arial" w:hAnsi="Arial"/>
          <w:sz w:val="22"/>
          <w:szCs w:val="22"/>
        </w:rPr>
        <w:t>tregada a una imprenta alemana de decoración.</w:t>
      </w:r>
    </w:p>
    <w:p w:rsidR="005F571F" w:rsidRDefault="005F571F" w:rsidP="002B68BE">
      <w:pPr>
        <w:pStyle w:val="Flietext"/>
        <w:tabs>
          <w:tab w:val="left" w:pos="570"/>
          <w:tab w:val="left" w:pos="7655"/>
        </w:tabs>
        <w:spacing w:line="360" w:lineRule="auto"/>
        <w:ind w:right="2033"/>
        <w:jc w:val="left"/>
        <w:outlineLvl w:val="1"/>
        <w:rPr>
          <w:rFonts w:ascii="Arial" w:hAnsi="Arial" w:cs="Arial"/>
          <w:sz w:val="22"/>
          <w:szCs w:val="22"/>
        </w:rPr>
      </w:pPr>
    </w:p>
    <w:p w:rsidR="002E01EA" w:rsidRPr="0079724D" w:rsidRDefault="002E01EA" w:rsidP="002B68BE">
      <w:pPr>
        <w:pStyle w:val="Flietext"/>
        <w:tabs>
          <w:tab w:val="left" w:pos="570"/>
          <w:tab w:val="left" w:pos="5387"/>
          <w:tab w:val="left" w:pos="7655"/>
        </w:tabs>
        <w:spacing w:line="360" w:lineRule="auto"/>
        <w:ind w:right="2033"/>
        <w:jc w:val="left"/>
        <w:rPr>
          <w:rFonts w:ascii="Arial" w:hAnsi="Arial" w:cs="Arial"/>
          <w:b/>
          <w:bCs/>
          <w:sz w:val="22"/>
          <w:szCs w:val="22"/>
        </w:rPr>
      </w:pPr>
      <w:r>
        <w:rPr>
          <w:rFonts w:ascii="Arial" w:hAnsi="Arial"/>
          <w:b/>
          <w:bCs/>
          <w:sz w:val="22"/>
          <w:szCs w:val="22"/>
        </w:rPr>
        <w:t>A pesar de su ralentización, China continúa siendo el mayor mercado</w:t>
      </w:r>
    </w:p>
    <w:p w:rsidR="002E01EA" w:rsidRDefault="00D064D7" w:rsidP="002B68BE">
      <w:pPr>
        <w:pStyle w:val="Flietext"/>
        <w:tabs>
          <w:tab w:val="left" w:pos="0"/>
          <w:tab w:val="left" w:pos="570"/>
          <w:tab w:val="left" w:pos="7655"/>
        </w:tabs>
        <w:spacing w:line="360" w:lineRule="auto"/>
        <w:ind w:right="2033"/>
        <w:jc w:val="left"/>
        <w:rPr>
          <w:rFonts w:ascii="Arial" w:hAnsi="Arial" w:cs="Arial"/>
          <w:sz w:val="22"/>
          <w:szCs w:val="22"/>
        </w:rPr>
      </w:pPr>
      <w:r>
        <w:rPr>
          <w:rFonts w:ascii="Arial" w:hAnsi="Arial"/>
          <w:sz w:val="22"/>
          <w:szCs w:val="22"/>
        </w:rPr>
        <w:t xml:space="preserve">Respecto de 2013, el volumen de negocio nacional retrocedió un 8,3 % hasta los 180,6 </w:t>
      </w:r>
      <w:proofErr w:type="spellStart"/>
      <w:r>
        <w:rPr>
          <w:rFonts w:ascii="Arial" w:hAnsi="Arial"/>
          <w:sz w:val="22"/>
          <w:szCs w:val="22"/>
        </w:rPr>
        <w:t>mill</w:t>
      </w:r>
      <w:proofErr w:type="spellEnd"/>
      <w:r>
        <w:rPr>
          <w:rFonts w:ascii="Arial" w:hAnsi="Arial"/>
          <w:sz w:val="22"/>
          <w:szCs w:val="22"/>
        </w:rPr>
        <w:t xml:space="preserve">. €, mientras que la cuota de exportación aumentó de un 82,1 a un 83,6 %. Las entregas a otros países de Europa subieron un 17,8 % hasta 389,8 </w:t>
      </w:r>
      <w:proofErr w:type="spellStart"/>
      <w:r>
        <w:rPr>
          <w:rFonts w:ascii="Arial" w:hAnsi="Arial"/>
          <w:sz w:val="22"/>
          <w:szCs w:val="22"/>
        </w:rPr>
        <w:t>mill</w:t>
      </w:r>
      <w:proofErr w:type="spellEnd"/>
      <w:r>
        <w:rPr>
          <w:rFonts w:ascii="Arial" w:hAnsi="Arial"/>
          <w:sz w:val="22"/>
          <w:szCs w:val="22"/>
        </w:rPr>
        <w:t xml:space="preserve">. €, mientras que la contribución de esta región en el volumen de negocio del grupo aumentó de un 30,1 a un 35,5 %. Norteamérica contribuyó con 117,6 </w:t>
      </w:r>
      <w:proofErr w:type="spellStart"/>
      <w:r>
        <w:rPr>
          <w:rFonts w:ascii="Arial" w:hAnsi="Arial"/>
          <w:sz w:val="22"/>
          <w:szCs w:val="22"/>
        </w:rPr>
        <w:t>mill</w:t>
      </w:r>
      <w:proofErr w:type="spellEnd"/>
      <w:r>
        <w:rPr>
          <w:rFonts w:ascii="Arial" w:hAnsi="Arial"/>
          <w:sz w:val="22"/>
          <w:szCs w:val="22"/>
        </w:rPr>
        <w:t>. € o un 10,7 % al volumen de negocio, en comparación con el 12,8 % del ejercicio anterior. Los mercados emergentes de Latinoamérica y África se situaron ligeramente por encima del nivel habitual con un 13,5 %. El volumen de negocio en la región Asia-Pacífico descendió debido a la ralent</w:t>
      </w:r>
      <w:r>
        <w:rPr>
          <w:rFonts w:ascii="Arial" w:hAnsi="Arial"/>
          <w:sz w:val="22"/>
          <w:szCs w:val="22"/>
        </w:rPr>
        <w:t>i</w:t>
      </w:r>
      <w:r>
        <w:rPr>
          <w:rFonts w:ascii="Arial" w:hAnsi="Arial"/>
          <w:sz w:val="22"/>
          <w:szCs w:val="22"/>
        </w:rPr>
        <w:t xml:space="preserve">zación en China y la débil coyuntura en Tailandia, pasando de 301,0 </w:t>
      </w:r>
      <w:proofErr w:type="spellStart"/>
      <w:r>
        <w:rPr>
          <w:rFonts w:ascii="Arial" w:hAnsi="Arial"/>
          <w:sz w:val="22"/>
          <w:szCs w:val="22"/>
        </w:rPr>
        <w:t>mill</w:t>
      </w:r>
      <w:proofErr w:type="spellEnd"/>
      <w:r>
        <w:rPr>
          <w:rFonts w:ascii="Arial" w:hAnsi="Arial"/>
          <w:sz w:val="22"/>
          <w:szCs w:val="22"/>
        </w:rPr>
        <w:t xml:space="preserve">. € el ejercicio anterior a 263,4 </w:t>
      </w:r>
      <w:proofErr w:type="spellStart"/>
      <w:r>
        <w:rPr>
          <w:rFonts w:ascii="Arial" w:hAnsi="Arial"/>
          <w:sz w:val="22"/>
          <w:szCs w:val="22"/>
        </w:rPr>
        <w:t>mill</w:t>
      </w:r>
      <w:proofErr w:type="spellEnd"/>
      <w:r>
        <w:rPr>
          <w:rFonts w:ascii="Arial" w:hAnsi="Arial"/>
          <w:sz w:val="22"/>
          <w:szCs w:val="22"/>
        </w:rPr>
        <w:t xml:space="preserve">. €, mientras que la cuota regional pasó de 27,4 a 23,9 %. No obstante, China continuó siendo el mayor mercado individual. </w:t>
      </w:r>
    </w:p>
    <w:p w:rsidR="002E01EA" w:rsidRPr="0079724D" w:rsidRDefault="002E01EA" w:rsidP="002B68BE">
      <w:pPr>
        <w:pStyle w:val="Flietext"/>
        <w:tabs>
          <w:tab w:val="left" w:pos="0"/>
          <w:tab w:val="left" w:pos="570"/>
          <w:tab w:val="left" w:pos="7655"/>
        </w:tabs>
        <w:spacing w:line="360" w:lineRule="auto"/>
        <w:ind w:right="2033"/>
        <w:jc w:val="left"/>
        <w:rPr>
          <w:rFonts w:ascii="Arial" w:hAnsi="Arial" w:cs="Arial"/>
          <w:sz w:val="22"/>
          <w:szCs w:val="22"/>
        </w:rPr>
      </w:pPr>
    </w:p>
    <w:p w:rsidR="002871DC" w:rsidRPr="00C8277D" w:rsidRDefault="00CB3BA3" w:rsidP="002B68BE">
      <w:pPr>
        <w:widowControl w:val="0"/>
        <w:tabs>
          <w:tab w:val="left" w:pos="2013"/>
          <w:tab w:val="left" w:pos="7655"/>
        </w:tabs>
        <w:adjustRightInd w:val="0"/>
        <w:spacing w:line="360" w:lineRule="auto"/>
        <w:ind w:right="2033"/>
        <w:textAlignment w:val="center"/>
        <w:rPr>
          <w:rFonts w:ascii="Arial" w:hAnsi="Arial" w:cs="Arial"/>
          <w:b/>
          <w:sz w:val="22"/>
          <w:szCs w:val="22"/>
        </w:rPr>
      </w:pPr>
      <w:r>
        <w:rPr>
          <w:rFonts w:ascii="Arial" w:hAnsi="Arial"/>
          <w:b/>
          <w:sz w:val="22"/>
          <w:szCs w:val="22"/>
        </w:rPr>
        <w:t xml:space="preserve">11,5 </w:t>
      </w:r>
      <w:proofErr w:type="spellStart"/>
      <w:r>
        <w:rPr>
          <w:rFonts w:ascii="Arial" w:hAnsi="Arial"/>
          <w:b/>
          <w:sz w:val="22"/>
          <w:szCs w:val="22"/>
        </w:rPr>
        <w:t>mill</w:t>
      </w:r>
      <w:proofErr w:type="spellEnd"/>
      <w:r>
        <w:rPr>
          <w:rFonts w:ascii="Arial" w:hAnsi="Arial"/>
          <w:b/>
          <w:sz w:val="22"/>
          <w:szCs w:val="22"/>
        </w:rPr>
        <w:t>. € de beneficio en el segmento de pliegos...</w:t>
      </w:r>
    </w:p>
    <w:p w:rsidR="00EF5D36" w:rsidRDefault="00306DFB" w:rsidP="002B68BE">
      <w:pPr>
        <w:widowControl w:val="0"/>
        <w:tabs>
          <w:tab w:val="left" w:pos="2013"/>
          <w:tab w:val="left" w:pos="7655"/>
        </w:tabs>
        <w:adjustRightInd w:val="0"/>
        <w:spacing w:line="360" w:lineRule="auto"/>
        <w:ind w:right="2033"/>
        <w:textAlignment w:val="center"/>
        <w:rPr>
          <w:rFonts w:ascii="Arial" w:hAnsi="Arial" w:cs="Arial"/>
          <w:sz w:val="22"/>
          <w:szCs w:val="22"/>
        </w:rPr>
      </w:pPr>
      <w:r>
        <w:rPr>
          <w:rFonts w:ascii="Arial" w:hAnsi="Arial"/>
          <w:sz w:val="22"/>
          <w:szCs w:val="22"/>
        </w:rPr>
        <w:t xml:space="preserve">Tras el resultado claramente negativo del segmento el ejercicio anterior (2013: –77,6 </w:t>
      </w:r>
      <w:proofErr w:type="spellStart"/>
      <w:r>
        <w:rPr>
          <w:rFonts w:ascii="Arial" w:hAnsi="Arial"/>
          <w:sz w:val="22"/>
          <w:szCs w:val="22"/>
        </w:rPr>
        <w:t>mill</w:t>
      </w:r>
      <w:proofErr w:type="spellEnd"/>
      <w:r>
        <w:rPr>
          <w:rFonts w:ascii="Arial" w:hAnsi="Arial"/>
          <w:sz w:val="22"/>
          <w:szCs w:val="22"/>
        </w:rPr>
        <w:t>. €) debido a los elevados gastos de reestructuración y los reajustes, en 2014 el área de pliegos ha alcanzado un resultado de explot</w:t>
      </w:r>
      <w:r>
        <w:rPr>
          <w:rFonts w:ascii="Arial" w:hAnsi="Arial"/>
          <w:sz w:val="22"/>
          <w:szCs w:val="22"/>
        </w:rPr>
        <w:t>a</w:t>
      </w:r>
      <w:r>
        <w:rPr>
          <w:rFonts w:ascii="Arial" w:hAnsi="Arial"/>
          <w:sz w:val="22"/>
          <w:szCs w:val="22"/>
        </w:rPr>
        <w:t xml:space="preserve">ción positivo de +11,5 </w:t>
      </w:r>
      <w:proofErr w:type="spellStart"/>
      <w:r>
        <w:rPr>
          <w:rFonts w:ascii="Arial" w:hAnsi="Arial"/>
          <w:sz w:val="22"/>
          <w:szCs w:val="22"/>
        </w:rPr>
        <w:t>mill</w:t>
      </w:r>
      <w:proofErr w:type="spellEnd"/>
      <w:r>
        <w:rPr>
          <w:rFonts w:ascii="Arial" w:hAnsi="Arial"/>
          <w:sz w:val="22"/>
          <w:szCs w:val="22"/>
        </w:rPr>
        <w:t xml:space="preserve">. €. Junto con los grandes avances en términos de costes y precios en la sede </w:t>
      </w:r>
      <w:proofErr w:type="spellStart"/>
      <w:r>
        <w:rPr>
          <w:rFonts w:ascii="Arial" w:hAnsi="Arial"/>
          <w:sz w:val="22"/>
          <w:szCs w:val="22"/>
        </w:rPr>
        <w:t>Radebeul</w:t>
      </w:r>
      <w:proofErr w:type="spellEnd"/>
      <w:r>
        <w:rPr>
          <w:rFonts w:ascii="Arial" w:hAnsi="Arial"/>
          <w:sz w:val="22"/>
          <w:szCs w:val="22"/>
        </w:rPr>
        <w:t xml:space="preserve"> y en KBA-Grafitec, la satisfactoria ev</w:t>
      </w:r>
      <w:r>
        <w:rPr>
          <w:rFonts w:ascii="Arial" w:hAnsi="Arial"/>
          <w:sz w:val="22"/>
          <w:szCs w:val="22"/>
        </w:rPr>
        <w:t>o</w:t>
      </w:r>
      <w:r>
        <w:rPr>
          <w:rFonts w:ascii="Arial" w:hAnsi="Arial"/>
          <w:sz w:val="22"/>
          <w:szCs w:val="22"/>
        </w:rPr>
        <w:t>lución del negocio en KBA-MetalPrint de Stuttgart también ha contribuido a esta circunstancia. El presidente de la Junta Directiva de KBA considera que la evolución del resultado del sector de pliegos es muy alentador para el fut</w:t>
      </w:r>
      <w:r>
        <w:rPr>
          <w:rFonts w:ascii="Arial" w:hAnsi="Arial"/>
          <w:sz w:val="22"/>
          <w:szCs w:val="22"/>
        </w:rPr>
        <w:t>u</w:t>
      </w:r>
      <w:r>
        <w:rPr>
          <w:rFonts w:ascii="Arial" w:hAnsi="Arial"/>
          <w:sz w:val="22"/>
          <w:szCs w:val="22"/>
        </w:rPr>
        <w:t>ro.</w:t>
      </w:r>
    </w:p>
    <w:p w:rsidR="00EF5D36" w:rsidRPr="00C8277D" w:rsidRDefault="00EF5D36" w:rsidP="002B68BE">
      <w:pPr>
        <w:widowControl w:val="0"/>
        <w:tabs>
          <w:tab w:val="left" w:pos="2013"/>
          <w:tab w:val="left" w:pos="7655"/>
        </w:tabs>
        <w:adjustRightInd w:val="0"/>
        <w:spacing w:line="360" w:lineRule="auto"/>
        <w:ind w:right="2033"/>
        <w:textAlignment w:val="center"/>
        <w:rPr>
          <w:rFonts w:ascii="Arial" w:hAnsi="Arial" w:cs="Arial"/>
          <w:b/>
          <w:sz w:val="22"/>
          <w:szCs w:val="22"/>
        </w:rPr>
      </w:pPr>
    </w:p>
    <w:p w:rsidR="00CB3BA3" w:rsidRPr="00C8277D" w:rsidRDefault="00CB3BA3" w:rsidP="002B68BE">
      <w:pPr>
        <w:widowControl w:val="0"/>
        <w:tabs>
          <w:tab w:val="left" w:pos="2013"/>
          <w:tab w:val="left" w:pos="7655"/>
        </w:tabs>
        <w:adjustRightInd w:val="0"/>
        <w:spacing w:line="360" w:lineRule="auto"/>
        <w:ind w:right="2033"/>
        <w:textAlignment w:val="center"/>
        <w:rPr>
          <w:rFonts w:ascii="Arial" w:hAnsi="Arial" w:cs="Arial"/>
          <w:b/>
          <w:sz w:val="22"/>
          <w:szCs w:val="22"/>
        </w:rPr>
      </w:pPr>
      <w:r>
        <w:rPr>
          <w:rFonts w:ascii="Arial" w:hAnsi="Arial"/>
          <w:b/>
          <w:sz w:val="22"/>
          <w:szCs w:val="22"/>
        </w:rPr>
        <w:t xml:space="preserve">... y resultado operativo de 2,6 </w:t>
      </w:r>
      <w:proofErr w:type="spellStart"/>
      <w:r>
        <w:rPr>
          <w:rFonts w:ascii="Arial" w:hAnsi="Arial"/>
          <w:b/>
          <w:sz w:val="22"/>
          <w:szCs w:val="22"/>
        </w:rPr>
        <w:t>mill</w:t>
      </w:r>
      <w:proofErr w:type="spellEnd"/>
      <w:r>
        <w:rPr>
          <w:rFonts w:ascii="Arial" w:hAnsi="Arial"/>
          <w:b/>
          <w:sz w:val="22"/>
          <w:szCs w:val="22"/>
        </w:rPr>
        <w:t>. € en las máquinas de bobina y esp</w:t>
      </w:r>
      <w:r>
        <w:rPr>
          <w:rFonts w:ascii="Arial" w:hAnsi="Arial"/>
          <w:b/>
          <w:sz w:val="22"/>
          <w:szCs w:val="22"/>
        </w:rPr>
        <w:t>e</w:t>
      </w:r>
      <w:r>
        <w:rPr>
          <w:rFonts w:ascii="Arial" w:hAnsi="Arial"/>
          <w:b/>
          <w:sz w:val="22"/>
          <w:szCs w:val="22"/>
        </w:rPr>
        <w:t>ciales</w:t>
      </w:r>
    </w:p>
    <w:p w:rsidR="00EF5D36" w:rsidRDefault="00AC7044" w:rsidP="002B68BE">
      <w:pPr>
        <w:widowControl w:val="0"/>
        <w:tabs>
          <w:tab w:val="left" w:pos="2013"/>
          <w:tab w:val="left" w:pos="7655"/>
        </w:tabs>
        <w:adjustRightInd w:val="0"/>
        <w:spacing w:line="360" w:lineRule="auto"/>
        <w:ind w:right="2033"/>
        <w:textAlignment w:val="center"/>
        <w:rPr>
          <w:rFonts w:ascii="Arial" w:hAnsi="Arial" w:cs="Arial"/>
          <w:sz w:val="22"/>
          <w:szCs w:val="22"/>
        </w:rPr>
      </w:pPr>
      <w:r>
        <w:rPr>
          <w:rFonts w:ascii="Arial" w:hAnsi="Arial"/>
          <w:sz w:val="22"/>
          <w:szCs w:val="22"/>
        </w:rPr>
        <w:t xml:space="preserve">En las máquinas de bobina y especiales, el resultado operativo tras efectos especiales se situó por debajo de los ejercicios anteriores con +2,6 </w:t>
      </w:r>
      <w:proofErr w:type="spellStart"/>
      <w:r>
        <w:rPr>
          <w:rFonts w:ascii="Arial" w:hAnsi="Arial"/>
          <w:sz w:val="22"/>
          <w:szCs w:val="22"/>
        </w:rPr>
        <w:t>mill</w:t>
      </w:r>
      <w:proofErr w:type="spellEnd"/>
      <w:r>
        <w:rPr>
          <w:rFonts w:ascii="Arial" w:hAnsi="Arial"/>
          <w:sz w:val="22"/>
          <w:szCs w:val="22"/>
        </w:rPr>
        <w:t xml:space="preserve">. €. Debido a los elevados efectos puntuales, la cifra del ejercicio anterior de –53,1 </w:t>
      </w:r>
      <w:proofErr w:type="spellStart"/>
      <w:r>
        <w:rPr>
          <w:rFonts w:ascii="Arial" w:hAnsi="Arial"/>
          <w:sz w:val="22"/>
          <w:szCs w:val="22"/>
        </w:rPr>
        <w:t>mill</w:t>
      </w:r>
      <w:proofErr w:type="spellEnd"/>
      <w:r>
        <w:rPr>
          <w:rFonts w:ascii="Arial" w:hAnsi="Arial"/>
          <w:sz w:val="22"/>
          <w:szCs w:val="22"/>
        </w:rPr>
        <w:t>. € no es comparable. Junto con los gastos extraordinarios previstos para traslados y otras medidas estructurales, el grado de utilización insuficie</w:t>
      </w:r>
      <w:r>
        <w:rPr>
          <w:rFonts w:ascii="Arial" w:hAnsi="Arial"/>
          <w:sz w:val="22"/>
          <w:szCs w:val="22"/>
        </w:rPr>
        <w:t>n</w:t>
      </w:r>
      <w:r>
        <w:rPr>
          <w:rFonts w:ascii="Arial" w:hAnsi="Arial"/>
          <w:sz w:val="22"/>
          <w:szCs w:val="22"/>
        </w:rPr>
        <w:t>te de las capacidades –considerablemente reducidas– en las plantas de m</w:t>
      </w:r>
      <w:r>
        <w:rPr>
          <w:rFonts w:ascii="Arial" w:hAnsi="Arial"/>
          <w:sz w:val="22"/>
          <w:szCs w:val="22"/>
        </w:rPr>
        <w:t>á</w:t>
      </w:r>
      <w:r>
        <w:rPr>
          <w:rFonts w:ascii="Arial" w:hAnsi="Arial"/>
          <w:sz w:val="22"/>
          <w:szCs w:val="22"/>
        </w:rPr>
        <w:t>quinas offset de bobina aún generó costes notables. Mediante la agrupación con el sector en expansión de la impresión digital en la nueva unidad de n</w:t>
      </w:r>
      <w:r>
        <w:rPr>
          <w:rFonts w:ascii="Arial" w:hAnsi="Arial"/>
          <w:sz w:val="22"/>
          <w:szCs w:val="22"/>
        </w:rPr>
        <w:t>e</w:t>
      </w:r>
      <w:r>
        <w:rPr>
          <w:rFonts w:ascii="Arial" w:hAnsi="Arial"/>
          <w:sz w:val="22"/>
          <w:szCs w:val="22"/>
        </w:rPr>
        <w:t>gocio KBA-Digital &amp; Web Solutions, el offset de bobina cuenta con una clara perspectiva de futuro a escala más pequeña.</w:t>
      </w:r>
    </w:p>
    <w:p w:rsidR="00417AF4" w:rsidRDefault="00417AF4" w:rsidP="002B68BE">
      <w:pPr>
        <w:widowControl w:val="0"/>
        <w:tabs>
          <w:tab w:val="left" w:pos="2013"/>
          <w:tab w:val="left" w:pos="7655"/>
        </w:tabs>
        <w:adjustRightInd w:val="0"/>
        <w:spacing w:line="360" w:lineRule="auto"/>
        <w:ind w:right="2033"/>
        <w:textAlignment w:val="center"/>
        <w:rPr>
          <w:rFonts w:ascii="Arial" w:hAnsi="Arial" w:cs="Arial"/>
          <w:sz w:val="22"/>
          <w:szCs w:val="22"/>
        </w:rPr>
      </w:pPr>
    </w:p>
    <w:p w:rsidR="00255BC0" w:rsidRPr="0079724D" w:rsidRDefault="00D9445D" w:rsidP="002B68BE">
      <w:pPr>
        <w:pStyle w:val="Flietext"/>
        <w:tabs>
          <w:tab w:val="left" w:pos="570"/>
          <w:tab w:val="left" w:pos="7655"/>
        </w:tabs>
        <w:spacing w:line="360" w:lineRule="auto"/>
        <w:ind w:right="2033"/>
        <w:jc w:val="left"/>
        <w:rPr>
          <w:rFonts w:ascii="Arial" w:hAnsi="Arial" w:cs="Arial"/>
          <w:b/>
          <w:bCs/>
          <w:sz w:val="22"/>
          <w:szCs w:val="22"/>
        </w:rPr>
      </w:pPr>
      <w:r>
        <w:rPr>
          <w:rFonts w:ascii="Arial" w:hAnsi="Arial"/>
          <w:b/>
          <w:bCs/>
          <w:sz w:val="22"/>
          <w:szCs w:val="22"/>
        </w:rPr>
        <w:t>Sólido flujo de caja a pesar de los elevados pagos de indemnizaciones</w:t>
      </w:r>
    </w:p>
    <w:p w:rsidR="003E5812" w:rsidRDefault="008E3A84" w:rsidP="002B68BE">
      <w:pPr>
        <w:pStyle w:val="Textkrper2"/>
        <w:tabs>
          <w:tab w:val="left" w:pos="6521"/>
          <w:tab w:val="left" w:pos="7655"/>
        </w:tabs>
        <w:spacing w:line="360" w:lineRule="auto"/>
        <w:ind w:right="2033"/>
        <w:rPr>
          <w:i w:val="0"/>
          <w:iCs w:val="0"/>
          <w:color w:val="000000"/>
        </w:rPr>
      </w:pPr>
      <w:r>
        <w:rPr>
          <w:i w:val="0"/>
          <w:iCs w:val="0"/>
          <w:color w:val="000000"/>
        </w:rPr>
        <w:t xml:space="preserve">Con 43,2 </w:t>
      </w:r>
      <w:proofErr w:type="spellStart"/>
      <w:r>
        <w:rPr>
          <w:i w:val="0"/>
          <w:iCs w:val="0"/>
          <w:color w:val="000000"/>
        </w:rPr>
        <w:t>mill</w:t>
      </w:r>
      <w:proofErr w:type="spellEnd"/>
      <w:r>
        <w:rPr>
          <w:i w:val="0"/>
          <w:iCs w:val="0"/>
          <w:color w:val="000000"/>
        </w:rPr>
        <w:t xml:space="preserve">. €, el flujo de caja de la actividad empresarial superó con creces el valor del ejercicio anterior de 34,1 </w:t>
      </w:r>
      <w:proofErr w:type="spellStart"/>
      <w:r>
        <w:rPr>
          <w:i w:val="0"/>
          <w:iCs w:val="0"/>
          <w:color w:val="000000"/>
        </w:rPr>
        <w:t>mill</w:t>
      </w:r>
      <w:proofErr w:type="spellEnd"/>
      <w:r>
        <w:rPr>
          <w:i w:val="0"/>
          <w:iCs w:val="0"/>
          <w:color w:val="000000"/>
        </w:rPr>
        <w:t>. € a pesar de la disminución de los pagos a cuenta de los clientes y las considerables salidas de efectivo para indemnizaciones. El flujo de caja disponible tras deducir los medios para i</w:t>
      </w:r>
      <w:r>
        <w:rPr>
          <w:i w:val="0"/>
          <w:iCs w:val="0"/>
          <w:color w:val="000000"/>
        </w:rPr>
        <w:t>n</w:t>
      </w:r>
      <w:r>
        <w:rPr>
          <w:i w:val="0"/>
          <w:iCs w:val="0"/>
          <w:color w:val="000000"/>
        </w:rPr>
        <w:t xml:space="preserve">versiones se situó en 28,7 </w:t>
      </w:r>
      <w:proofErr w:type="spellStart"/>
      <w:r>
        <w:rPr>
          <w:i w:val="0"/>
          <w:iCs w:val="0"/>
          <w:color w:val="000000"/>
        </w:rPr>
        <w:t>mill</w:t>
      </w:r>
      <w:proofErr w:type="spellEnd"/>
      <w:r>
        <w:rPr>
          <w:i w:val="0"/>
          <w:iCs w:val="0"/>
          <w:color w:val="000000"/>
        </w:rPr>
        <w:t xml:space="preserve">. € respecto de los 3,2 </w:t>
      </w:r>
      <w:proofErr w:type="spellStart"/>
      <w:r>
        <w:rPr>
          <w:i w:val="0"/>
          <w:iCs w:val="0"/>
          <w:color w:val="000000"/>
        </w:rPr>
        <w:t>mill</w:t>
      </w:r>
      <w:proofErr w:type="spellEnd"/>
      <w:r>
        <w:rPr>
          <w:i w:val="0"/>
          <w:iCs w:val="0"/>
          <w:color w:val="000000"/>
        </w:rPr>
        <w:t>. € del ejercicio ant</w:t>
      </w:r>
      <w:r>
        <w:rPr>
          <w:i w:val="0"/>
          <w:iCs w:val="0"/>
          <w:color w:val="000000"/>
        </w:rPr>
        <w:t>e</w:t>
      </w:r>
      <w:r>
        <w:rPr>
          <w:i w:val="0"/>
          <w:iCs w:val="0"/>
          <w:color w:val="000000"/>
        </w:rPr>
        <w:t>rior. Junto con la mejora del resultado, esto se ha logrado mediante la redu</w:t>
      </w:r>
      <w:r>
        <w:rPr>
          <w:i w:val="0"/>
          <w:iCs w:val="0"/>
          <w:color w:val="000000"/>
        </w:rPr>
        <w:t>c</w:t>
      </w:r>
      <w:r>
        <w:rPr>
          <w:i w:val="0"/>
          <w:iCs w:val="0"/>
          <w:color w:val="000000"/>
        </w:rPr>
        <w:t>ción consecuente de las existencias y los créditos pendientes. Para el cons</w:t>
      </w:r>
      <w:r>
        <w:rPr>
          <w:i w:val="0"/>
          <w:iCs w:val="0"/>
          <w:color w:val="000000"/>
        </w:rPr>
        <w:t>e</w:t>
      </w:r>
      <w:r>
        <w:rPr>
          <w:i w:val="0"/>
          <w:iCs w:val="0"/>
          <w:color w:val="000000"/>
        </w:rPr>
        <w:t>jero directivo de Finanzas Dr. Mathias Dähn –en el cargo desde junio de 2014–, la gestión del capital circulante es una cuestión prioritaria en su age</w:t>
      </w:r>
      <w:r>
        <w:rPr>
          <w:i w:val="0"/>
          <w:iCs w:val="0"/>
          <w:color w:val="000000"/>
        </w:rPr>
        <w:t>n</w:t>
      </w:r>
      <w:r>
        <w:rPr>
          <w:i w:val="0"/>
          <w:iCs w:val="0"/>
          <w:color w:val="000000"/>
        </w:rPr>
        <w:t>da.</w:t>
      </w:r>
    </w:p>
    <w:p w:rsidR="003E5812" w:rsidRDefault="003E5812" w:rsidP="002B68BE">
      <w:pPr>
        <w:pStyle w:val="Textkrper2"/>
        <w:tabs>
          <w:tab w:val="left" w:pos="6521"/>
          <w:tab w:val="left" w:pos="7655"/>
        </w:tabs>
        <w:spacing w:line="360" w:lineRule="auto"/>
        <w:ind w:right="2033"/>
        <w:rPr>
          <w:i w:val="0"/>
          <w:iCs w:val="0"/>
          <w:color w:val="000000"/>
        </w:rPr>
      </w:pPr>
    </w:p>
    <w:p w:rsidR="002451AC" w:rsidRPr="002451AC" w:rsidRDefault="002451AC" w:rsidP="002B68BE">
      <w:pPr>
        <w:pStyle w:val="Textkrper2"/>
        <w:tabs>
          <w:tab w:val="left" w:pos="6521"/>
          <w:tab w:val="left" w:pos="7655"/>
        </w:tabs>
        <w:spacing w:line="360" w:lineRule="auto"/>
        <w:ind w:right="2033"/>
        <w:jc w:val="both"/>
        <w:rPr>
          <w:b/>
          <w:i w:val="0"/>
        </w:rPr>
      </w:pPr>
      <w:r>
        <w:rPr>
          <w:b/>
          <w:i w:val="0"/>
        </w:rPr>
        <w:t xml:space="preserve">Más de 200 </w:t>
      </w:r>
      <w:proofErr w:type="spellStart"/>
      <w:r>
        <w:rPr>
          <w:b/>
          <w:i w:val="0"/>
        </w:rPr>
        <w:t>mill</w:t>
      </w:r>
      <w:proofErr w:type="spellEnd"/>
      <w:r>
        <w:rPr>
          <w:b/>
          <w:i w:val="0"/>
        </w:rPr>
        <w:t>. € de medios líquidos a finales de año</w:t>
      </w:r>
    </w:p>
    <w:p w:rsidR="00255BC0" w:rsidRPr="0079724D" w:rsidRDefault="003E5812" w:rsidP="002B68BE">
      <w:pPr>
        <w:pStyle w:val="Textkrper2"/>
        <w:tabs>
          <w:tab w:val="left" w:pos="6521"/>
          <w:tab w:val="left" w:pos="7655"/>
        </w:tabs>
        <w:spacing w:line="360" w:lineRule="auto"/>
        <w:ind w:right="2033"/>
        <w:jc w:val="both"/>
        <w:rPr>
          <w:i w:val="0"/>
          <w:iCs w:val="0"/>
        </w:rPr>
      </w:pPr>
      <w:r>
        <w:rPr>
          <w:i w:val="0"/>
        </w:rPr>
        <w:t xml:space="preserve">Gracias a la evolución positiva del flujo de caja, los medios líquidos a finales de 2014 aumentaron hasta 207,6 </w:t>
      </w:r>
      <w:proofErr w:type="spellStart"/>
      <w:r>
        <w:rPr>
          <w:i w:val="0"/>
        </w:rPr>
        <w:t>mill</w:t>
      </w:r>
      <w:proofErr w:type="spellEnd"/>
      <w:r>
        <w:rPr>
          <w:i w:val="0"/>
        </w:rPr>
        <w:t xml:space="preserve">. €. </w:t>
      </w:r>
      <w:r>
        <w:rPr>
          <w:i w:val="0"/>
          <w:iCs w:val="0"/>
        </w:rPr>
        <w:t xml:space="preserve">Tras la deducción de las deudas bancarias reducidas a 15,2 </w:t>
      </w:r>
      <w:proofErr w:type="spellStart"/>
      <w:r>
        <w:rPr>
          <w:i w:val="0"/>
          <w:iCs w:val="0"/>
        </w:rPr>
        <w:t>mill</w:t>
      </w:r>
      <w:proofErr w:type="spellEnd"/>
      <w:r>
        <w:rPr>
          <w:i w:val="0"/>
          <w:iCs w:val="0"/>
        </w:rPr>
        <w:t xml:space="preserve">. €, KBA contaba con una posición financiera neta de +192,4 </w:t>
      </w:r>
      <w:proofErr w:type="spellStart"/>
      <w:r>
        <w:rPr>
          <w:i w:val="0"/>
          <w:iCs w:val="0"/>
        </w:rPr>
        <w:t>mill</w:t>
      </w:r>
      <w:proofErr w:type="spellEnd"/>
      <w:r>
        <w:rPr>
          <w:i w:val="0"/>
          <w:iCs w:val="0"/>
        </w:rPr>
        <w:t xml:space="preserve">. €. De las líneas de crédito acordadas, solo se utilizaron avales para garantías de anticipo. La reducción del tipo de actualización para pensiones nacionales supuso una disminución de la cuota de capital propio del </w:t>
      </w:r>
      <w:r>
        <w:rPr>
          <w:i w:val="0"/>
        </w:rPr>
        <w:t>25,3 % al 22,4 %. No obstante, KBA sigue gozando de una sólida fina</w:t>
      </w:r>
      <w:r>
        <w:rPr>
          <w:i w:val="0"/>
        </w:rPr>
        <w:t>n</w:t>
      </w:r>
      <w:r>
        <w:rPr>
          <w:i w:val="0"/>
        </w:rPr>
        <w:t>ciación en comparación con otras empresas del sector.</w:t>
      </w:r>
    </w:p>
    <w:p w:rsidR="00255BC0" w:rsidRPr="0079724D" w:rsidRDefault="00255BC0" w:rsidP="002B68BE">
      <w:pPr>
        <w:pStyle w:val="Flietext"/>
        <w:tabs>
          <w:tab w:val="left" w:pos="570"/>
          <w:tab w:val="left" w:pos="7655"/>
        </w:tabs>
        <w:spacing w:line="240" w:lineRule="auto"/>
        <w:ind w:right="2033"/>
        <w:jc w:val="left"/>
        <w:rPr>
          <w:rFonts w:ascii="Arial" w:hAnsi="Arial" w:cs="Arial"/>
          <w:b/>
          <w:bCs/>
          <w:sz w:val="22"/>
          <w:szCs w:val="22"/>
        </w:rPr>
      </w:pPr>
    </w:p>
    <w:p w:rsidR="007252B8" w:rsidRPr="0079724D" w:rsidRDefault="001468AF" w:rsidP="002B68BE">
      <w:pPr>
        <w:pStyle w:val="Flietext"/>
        <w:tabs>
          <w:tab w:val="left" w:pos="570"/>
          <w:tab w:val="left" w:pos="5387"/>
          <w:tab w:val="left" w:pos="7655"/>
        </w:tabs>
        <w:spacing w:line="360" w:lineRule="auto"/>
        <w:ind w:right="2033"/>
        <w:jc w:val="left"/>
        <w:rPr>
          <w:rFonts w:ascii="Arial" w:hAnsi="Arial" w:cs="Arial"/>
          <w:sz w:val="22"/>
          <w:szCs w:val="22"/>
        </w:rPr>
      </w:pPr>
      <w:r>
        <w:rPr>
          <w:rFonts w:ascii="Arial" w:hAnsi="Arial"/>
          <w:b/>
          <w:bCs/>
          <w:sz w:val="22"/>
          <w:szCs w:val="22"/>
        </w:rPr>
        <w:t>678 empleados menos que a finales de 2013</w:t>
      </w:r>
    </w:p>
    <w:p w:rsidR="007252B8" w:rsidRPr="0079724D" w:rsidRDefault="007252B8" w:rsidP="002B68BE">
      <w:pPr>
        <w:pStyle w:val="Flietext"/>
        <w:tabs>
          <w:tab w:val="clear" w:pos="283"/>
          <w:tab w:val="left" w:pos="-1560"/>
          <w:tab w:val="left" w:pos="0"/>
          <w:tab w:val="left" w:pos="567"/>
          <w:tab w:val="left" w:pos="7655"/>
        </w:tabs>
        <w:spacing w:line="360" w:lineRule="auto"/>
        <w:ind w:right="2033"/>
        <w:jc w:val="left"/>
        <w:rPr>
          <w:rFonts w:ascii="Arial" w:hAnsi="Arial" w:cs="Arial"/>
          <w:sz w:val="22"/>
          <w:szCs w:val="22"/>
        </w:rPr>
      </w:pPr>
      <w:r>
        <w:rPr>
          <w:rFonts w:ascii="Arial" w:hAnsi="Arial"/>
          <w:sz w:val="22"/>
          <w:szCs w:val="22"/>
        </w:rPr>
        <w:t>A finales de 2014, el Grupo KBA tenía una plantilla de 5.731 personas, 678 menos que a finales de 2013. Sin contar a los aprendices, al personal en prácticas y a los empleados liberados, la plantilla se redujo en el grupo hasta 5.114 personas. Como consecuencia de la reorientación, la cifra de trabajad</w:t>
      </w:r>
      <w:r>
        <w:rPr>
          <w:rFonts w:ascii="Arial" w:hAnsi="Arial"/>
          <w:sz w:val="22"/>
          <w:szCs w:val="22"/>
        </w:rPr>
        <w:t>o</w:t>
      </w:r>
      <w:r>
        <w:rPr>
          <w:rFonts w:ascii="Arial" w:hAnsi="Arial"/>
          <w:sz w:val="22"/>
          <w:szCs w:val="22"/>
        </w:rPr>
        <w:t>res se reducirá de aquí a finales de 2016 hasta unos 4.500. La cuota de fo</w:t>
      </w:r>
      <w:r>
        <w:rPr>
          <w:rFonts w:ascii="Arial" w:hAnsi="Arial"/>
          <w:sz w:val="22"/>
          <w:szCs w:val="22"/>
        </w:rPr>
        <w:t>r</w:t>
      </w:r>
      <w:r>
        <w:rPr>
          <w:rFonts w:ascii="Arial" w:hAnsi="Arial"/>
          <w:sz w:val="22"/>
          <w:szCs w:val="22"/>
        </w:rPr>
        <w:t>mación en KBA se sitúa en un 7,4 %, lo que sigue estando por encima de la media.</w:t>
      </w:r>
    </w:p>
    <w:p w:rsidR="00453CDF" w:rsidRPr="0079724D" w:rsidRDefault="00453CDF" w:rsidP="002B68BE">
      <w:pPr>
        <w:pStyle w:val="Flietext"/>
        <w:tabs>
          <w:tab w:val="left" w:pos="570"/>
          <w:tab w:val="left" w:pos="7655"/>
        </w:tabs>
        <w:spacing w:line="240" w:lineRule="auto"/>
        <w:ind w:right="2033"/>
        <w:jc w:val="left"/>
        <w:rPr>
          <w:rFonts w:ascii="Arial" w:hAnsi="Arial" w:cs="Arial"/>
          <w:b/>
          <w:bCs/>
          <w:sz w:val="22"/>
          <w:szCs w:val="22"/>
        </w:rPr>
      </w:pPr>
    </w:p>
    <w:p w:rsidR="00F76644" w:rsidRPr="00F76644" w:rsidRDefault="00F76644" w:rsidP="002B68BE">
      <w:pPr>
        <w:tabs>
          <w:tab w:val="left" w:pos="7655"/>
        </w:tabs>
        <w:spacing w:line="360" w:lineRule="auto"/>
        <w:ind w:right="2033"/>
        <w:rPr>
          <w:rFonts w:ascii="Arial" w:hAnsi="Arial" w:cs="Arial"/>
          <w:b/>
          <w:sz w:val="22"/>
          <w:szCs w:val="22"/>
        </w:rPr>
      </w:pPr>
      <w:r>
        <w:rPr>
          <w:rFonts w:ascii="Arial" w:hAnsi="Arial"/>
          <w:b/>
          <w:sz w:val="22"/>
          <w:szCs w:val="22"/>
        </w:rPr>
        <w:t>Nueva estructura societaria en preparación</w:t>
      </w:r>
    </w:p>
    <w:p w:rsidR="00917668" w:rsidRPr="00917668" w:rsidRDefault="00917668" w:rsidP="00F96275">
      <w:pPr>
        <w:spacing w:line="360" w:lineRule="auto"/>
        <w:ind w:right="2175"/>
        <w:rPr>
          <w:rFonts w:ascii="Arial" w:hAnsi="Arial" w:cs="Arial"/>
          <w:color w:val="000000"/>
          <w:sz w:val="22"/>
          <w:szCs w:val="22"/>
        </w:rPr>
      </w:pPr>
      <w:r>
        <w:rPr>
          <w:rFonts w:ascii="Arial" w:hAnsi="Arial"/>
          <w:color w:val="000000"/>
          <w:sz w:val="22"/>
          <w:szCs w:val="22"/>
        </w:rPr>
        <w:t>En el marco de la reorientación, a fin de reforzar la gobernanza corporativa, la Junta Directiva prepara el cambio de una estructura societaria funcional a una divisional. Los objetivos subyacentes son: mayor transparencia, clara responsabilidad de gestión y definición de objetivos en todas las unidades de negocio, tolerancia cero a negocios deficitarios, eliminación de subve</w:t>
      </w:r>
      <w:r>
        <w:rPr>
          <w:rFonts w:ascii="Arial" w:hAnsi="Arial"/>
          <w:color w:val="000000"/>
          <w:sz w:val="22"/>
          <w:szCs w:val="22"/>
        </w:rPr>
        <w:t>n</w:t>
      </w:r>
      <w:r>
        <w:rPr>
          <w:rFonts w:ascii="Arial" w:hAnsi="Arial"/>
          <w:color w:val="000000"/>
          <w:sz w:val="22"/>
          <w:szCs w:val="22"/>
        </w:rPr>
        <w:t>ciones cruzadas, así como inversión de capital según los objetivos estratég</w:t>
      </w:r>
      <w:r>
        <w:rPr>
          <w:rFonts w:ascii="Arial" w:hAnsi="Arial"/>
          <w:color w:val="000000"/>
          <w:sz w:val="22"/>
          <w:szCs w:val="22"/>
        </w:rPr>
        <w:t>i</w:t>
      </w:r>
      <w:r>
        <w:rPr>
          <w:rFonts w:ascii="Arial" w:hAnsi="Arial"/>
          <w:color w:val="000000"/>
          <w:sz w:val="22"/>
          <w:szCs w:val="22"/>
        </w:rPr>
        <w:t>cos y el rendimiento previsto.</w:t>
      </w:r>
      <w:r>
        <w:rPr>
          <w:rFonts w:ascii="Arial" w:hAnsi="Arial"/>
          <w:sz w:val="22"/>
          <w:szCs w:val="22"/>
        </w:rPr>
        <w:t xml:space="preserve"> La nueva estructura debe presentarse a la Asamblea General el 21 de mayo de 2015 y, de aprobarse, podría entrar en vigor con efecto retroactivo a 1 de enero.</w:t>
      </w:r>
    </w:p>
    <w:p w:rsidR="00A775BA" w:rsidRPr="00917668" w:rsidRDefault="00A775BA" w:rsidP="00847A1F">
      <w:pPr>
        <w:spacing w:line="360" w:lineRule="auto"/>
        <w:ind w:right="2175"/>
        <w:rPr>
          <w:rFonts w:ascii="Arial" w:hAnsi="Arial" w:cs="Arial"/>
          <w:color w:val="000000"/>
          <w:sz w:val="22"/>
          <w:szCs w:val="22"/>
        </w:rPr>
      </w:pPr>
    </w:p>
    <w:p w:rsidR="003D3ABE" w:rsidRDefault="00917668" w:rsidP="002B68BE">
      <w:pPr>
        <w:tabs>
          <w:tab w:val="left" w:pos="7371"/>
          <w:tab w:val="left" w:pos="7655"/>
        </w:tabs>
        <w:spacing w:line="360" w:lineRule="auto"/>
        <w:ind w:right="2033"/>
        <w:rPr>
          <w:rFonts w:ascii="Arial" w:hAnsi="Arial" w:cs="Arial"/>
          <w:sz w:val="22"/>
          <w:szCs w:val="22"/>
        </w:rPr>
      </w:pPr>
      <w:r>
        <w:rPr>
          <w:rFonts w:ascii="Arial" w:hAnsi="Arial"/>
          <w:sz w:val="22"/>
          <w:szCs w:val="22"/>
        </w:rPr>
        <w:t>En la nueva estructura societaria, Koenig &amp; Bauer AG actúa como holding con funciones centrales. Bajo su techo se han previsto las unidades de negocio operativas de offset de pliegos (KBA-</w:t>
      </w:r>
      <w:proofErr w:type="spellStart"/>
      <w:r>
        <w:rPr>
          <w:rFonts w:ascii="Arial" w:hAnsi="Arial"/>
          <w:sz w:val="22"/>
          <w:szCs w:val="22"/>
        </w:rPr>
        <w:t>Sheetfed</w:t>
      </w:r>
      <w:proofErr w:type="spellEnd"/>
      <w:r>
        <w:rPr>
          <w:rFonts w:ascii="Arial" w:hAnsi="Arial"/>
          <w:sz w:val="22"/>
          <w:szCs w:val="22"/>
        </w:rPr>
        <w:t xml:space="preserve"> Solutions), digital y </w:t>
      </w:r>
      <w:proofErr w:type="spellStart"/>
      <w:r>
        <w:rPr>
          <w:rFonts w:ascii="Arial" w:hAnsi="Arial"/>
          <w:sz w:val="22"/>
          <w:szCs w:val="22"/>
        </w:rPr>
        <w:t>bobina</w:t>
      </w:r>
      <w:proofErr w:type="spellEnd"/>
      <w:r>
        <w:rPr>
          <w:rFonts w:ascii="Arial" w:hAnsi="Arial"/>
          <w:sz w:val="22"/>
          <w:szCs w:val="22"/>
        </w:rPr>
        <w:t xml:space="preserve"> (KBA-Digital &amp; Web Solutions), así como la producción </w:t>
      </w:r>
      <w:proofErr w:type="spellStart"/>
      <w:r>
        <w:rPr>
          <w:rFonts w:ascii="Arial" w:hAnsi="Arial"/>
          <w:sz w:val="22"/>
          <w:szCs w:val="22"/>
        </w:rPr>
        <w:t>multiplanta</w:t>
      </w:r>
      <w:proofErr w:type="spellEnd"/>
      <w:r>
        <w:rPr>
          <w:rFonts w:ascii="Arial" w:hAnsi="Arial"/>
          <w:sz w:val="22"/>
          <w:szCs w:val="22"/>
        </w:rPr>
        <w:t xml:space="preserve"> en tanto que base de fabricación conjunta (KBA-Industrial Solutions). Las sociedades escindidas tienen la forma jurídica de una AG &amp; Co. KG. KBA-NotaSys –responsable de la impresión de seguridad– se </w:t>
      </w:r>
      <w:proofErr w:type="spellStart"/>
      <w:r>
        <w:rPr>
          <w:rFonts w:ascii="Arial" w:hAnsi="Arial"/>
          <w:sz w:val="22"/>
          <w:szCs w:val="22"/>
        </w:rPr>
        <w:t>reestructurá</w:t>
      </w:r>
      <w:proofErr w:type="spellEnd"/>
      <w:r>
        <w:rPr>
          <w:rFonts w:ascii="Arial" w:hAnsi="Arial"/>
          <w:sz w:val="22"/>
          <w:szCs w:val="22"/>
        </w:rPr>
        <w:t xml:space="preserve"> de acuerdo con la nueva cadena de valor y, como KBA-MetalPrint, KBA-MePrint, KBA-</w:t>
      </w:r>
      <w:proofErr w:type="spellStart"/>
      <w:r>
        <w:rPr>
          <w:rFonts w:ascii="Arial" w:hAnsi="Arial"/>
          <w:sz w:val="22"/>
          <w:szCs w:val="22"/>
        </w:rPr>
        <w:t>Metronic</w:t>
      </w:r>
      <w:proofErr w:type="spellEnd"/>
      <w:r>
        <w:rPr>
          <w:rFonts w:ascii="Arial" w:hAnsi="Arial"/>
          <w:sz w:val="22"/>
          <w:szCs w:val="22"/>
        </w:rPr>
        <w:t>, KBA-Kammann y KBA-Flexotecnica, se consolidará en el segmento de nueva creación de máquinas especiales.</w:t>
      </w:r>
    </w:p>
    <w:p w:rsidR="00022DCE" w:rsidRDefault="00022DCE" w:rsidP="002B68BE">
      <w:pPr>
        <w:tabs>
          <w:tab w:val="left" w:pos="7371"/>
          <w:tab w:val="left" w:pos="7655"/>
        </w:tabs>
        <w:spacing w:line="360" w:lineRule="auto"/>
        <w:ind w:right="2033"/>
        <w:rPr>
          <w:rFonts w:ascii="Arial" w:hAnsi="Arial" w:cs="Arial"/>
          <w:spacing w:val="2"/>
          <w:sz w:val="22"/>
          <w:szCs w:val="22"/>
        </w:rPr>
      </w:pPr>
    </w:p>
    <w:p w:rsidR="005738AC" w:rsidRDefault="00FC6BDE" w:rsidP="002B68BE">
      <w:pPr>
        <w:tabs>
          <w:tab w:val="left" w:pos="7371"/>
          <w:tab w:val="left" w:pos="7655"/>
        </w:tabs>
        <w:spacing w:line="360" w:lineRule="auto"/>
        <w:ind w:right="2033"/>
        <w:rPr>
          <w:rFonts w:ascii="Arial" w:hAnsi="Arial" w:cs="Arial"/>
          <w:spacing w:val="2"/>
          <w:sz w:val="22"/>
          <w:szCs w:val="22"/>
        </w:rPr>
      </w:pPr>
      <w:r>
        <w:rPr>
          <w:rFonts w:ascii="Arial" w:hAnsi="Arial"/>
          <w:spacing w:val="2"/>
          <w:sz w:val="22"/>
          <w:szCs w:val="22"/>
        </w:rPr>
        <w:t>Los nuevos informes del grupo previstos para 2015 para los segmentos de pliegos, digital y bobina, y máquinas especiales también contribuirán a apo</w:t>
      </w:r>
      <w:r>
        <w:rPr>
          <w:rFonts w:ascii="Arial" w:hAnsi="Arial"/>
          <w:spacing w:val="2"/>
          <w:sz w:val="22"/>
          <w:szCs w:val="22"/>
        </w:rPr>
        <w:t>r</w:t>
      </w:r>
      <w:r>
        <w:rPr>
          <w:rFonts w:ascii="Arial" w:hAnsi="Arial"/>
          <w:spacing w:val="2"/>
          <w:sz w:val="22"/>
          <w:szCs w:val="22"/>
        </w:rPr>
        <w:t>tar una mayor transparencia.</w:t>
      </w:r>
    </w:p>
    <w:p w:rsidR="00F76644" w:rsidRPr="00F76644" w:rsidRDefault="00F76644" w:rsidP="002B68BE">
      <w:pPr>
        <w:widowControl w:val="0"/>
        <w:tabs>
          <w:tab w:val="left" w:pos="7371"/>
          <w:tab w:val="left" w:pos="7655"/>
        </w:tabs>
        <w:adjustRightInd w:val="0"/>
        <w:spacing w:line="360" w:lineRule="auto"/>
        <w:ind w:right="2033"/>
        <w:textAlignment w:val="center"/>
        <w:rPr>
          <w:rFonts w:ascii="Arial" w:hAnsi="Arial" w:cs="Arial"/>
          <w:spacing w:val="2"/>
          <w:sz w:val="22"/>
          <w:szCs w:val="22"/>
        </w:rPr>
      </w:pPr>
    </w:p>
    <w:p w:rsidR="007617F5" w:rsidRPr="0084298A" w:rsidRDefault="00E758CD" w:rsidP="002B68BE">
      <w:pPr>
        <w:widowControl w:val="0"/>
        <w:tabs>
          <w:tab w:val="left" w:pos="7655"/>
        </w:tabs>
        <w:adjustRightInd w:val="0"/>
        <w:spacing w:line="360" w:lineRule="auto"/>
        <w:ind w:right="2033"/>
        <w:textAlignment w:val="center"/>
        <w:rPr>
          <w:rFonts w:ascii="Arial" w:hAnsi="Arial" w:cs="Arial"/>
          <w:b/>
          <w:sz w:val="22"/>
          <w:szCs w:val="22"/>
        </w:rPr>
      </w:pPr>
      <w:r>
        <w:rPr>
          <w:rFonts w:ascii="Arial" w:hAnsi="Arial"/>
          <w:b/>
          <w:bCs/>
          <w:sz w:val="22"/>
          <w:szCs w:val="22"/>
        </w:rPr>
        <w:t xml:space="preserve">Perspectiva para 2015: </w:t>
      </w:r>
      <w:r>
        <w:rPr>
          <w:rFonts w:ascii="Arial" w:hAnsi="Arial"/>
          <w:b/>
          <w:sz w:val="22"/>
          <w:szCs w:val="22"/>
        </w:rPr>
        <w:t>volumen de negocio similar con margen EBT de hasta un 2 %</w:t>
      </w:r>
    </w:p>
    <w:p w:rsidR="00946D1A" w:rsidRDefault="00E758CD" w:rsidP="002B68BE">
      <w:pPr>
        <w:pStyle w:val="Flietext"/>
        <w:tabs>
          <w:tab w:val="left" w:pos="570"/>
          <w:tab w:val="left" w:pos="7655"/>
        </w:tabs>
        <w:spacing w:line="360" w:lineRule="auto"/>
        <w:ind w:right="2033"/>
        <w:jc w:val="left"/>
        <w:rPr>
          <w:rFonts w:ascii="Arial" w:hAnsi="Arial" w:cs="Arial"/>
          <w:sz w:val="22"/>
          <w:szCs w:val="22"/>
        </w:rPr>
      </w:pPr>
      <w:r>
        <w:rPr>
          <w:rFonts w:ascii="Arial" w:hAnsi="Arial"/>
          <w:sz w:val="22"/>
          <w:szCs w:val="22"/>
        </w:rPr>
        <w:t>A tenor de las múltiples incertidumbres de la economía mundial, KBA no pr</w:t>
      </w:r>
      <w:r>
        <w:rPr>
          <w:rFonts w:ascii="Arial" w:hAnsi="Arial"/>
          <w:sz w:val="22"/>
          <w:szCs w:val="22"/>
        </w:rPr>
        <w:t>e</w:t>
      </w:r>
      <w:r>
        <w:rPr>
          <w:rFonts w:ascii="Arial" w:hAnsi="Arial"/>
          <w:sz w:val="22"/>
          <w:szCs w:val="22"/>
        </w:rPr>
        <w:t>vé un crecimiento general del mercado de máquinas de impresión para 2015. La gerencia considera que existe potencial de crecimiento sobre todo en la impresión digital y de envases. En este sentido, KBA quiere centrarse partic</w:t>
      </w:r>
      <w:r>
        <w:rPr>
          <w:rFonts w:ascii="Arial" w:hAnsi="Arial"/>
          <w:sz w:val="22"/>
          <w:szCs w:val="22"/>
        </w:rPr>
        <w:t>u</w:t>
      </w:r>
      <w:r>
        <w:rPr>
          <w:rFonts w:ascii="Arial" w:hAnsi="Arial"/>
          <w:sz w:val="22"/>
          <w:szCs w:val="22"/>
        </w:rPr>
        <w:t>larmente en la impresión digital en aplicaciones con materiales exigentes y grandes anchos del soporte de impresión. Con este objetivo, durante el eje</w:t>
      </w:r>
      <w:r>
        <w:rPr>
          <w:rFonts w:ascii="Arial" w:hAnsi="Arial"/>
          <w:sz w:val="22"/>
          <w:szCs w:val="22"/>
        </w:rPr>
        <w:t>r</w:t>
      </w:r>
      <w:r>
        <w:rPr>
          <w:rFonts w:ascii="Arial" w:hAnsi="Arial"/>
          <w:sz w:val="22"/>
          <w:szCs w:val="22"/>
        </w:rPr>
        <w:t xml:space="preserve">cicio de referencia, con la </w:t>
      </w:r>
      <w:proofErr w:type="spellStart"/>
      <w:r>
        <w:rPr>
          <w:rFonts w:ascii="Arial" w:hAnsi="Arial"/>
          <w:sz w:val="22"/>
          <w:szCs w:val="22"/>
        </w:rPr>
        <w:t>RotaJET</w:t>
      </w:r>
      <w:proofErr w:type="spellEnd"/>
      <w:r>
        <w:rPr>
          <w:rFonts w:ascii="Arial" w:hAnsi="Arial"/>
          <w:sz w:val="22"/>
          <w:szCs w:val="22"/>
        </w:rPr>
        <w:t xml:space="preserve"> L y la </w:t>
      </w:r>
      <w:proofErr w:type="spellStart"/>
      <w:r>
        <w:rPr>
          <w:rFonts w:ascii="Arial" w:hAnsi="Arial"/>
          <w:sz w:val="22"/>
          <w:szCs w:val="22"/>
        </w:rPr>
        <w:t>RotaJET</w:t>
      </w:r>
      <w:proofErr w:type="spellEnd"/>
      <w:r>
        <w:rPr>
          <w:rFonts w:ascii="Arial" w:hAnsi="Arial"/>
          <w:sz w:val="22"/>
          <w:szCs w:val="22"/>
        </w:rPr>
        <w:t xml:space="preserve"> VL se han creado unas plataformas flexibles. Asimismo, la empresa espera que la asociación con Hewlett Packard (HP) genere impulsos positivos mediante el desarrollo co</w:t>
      </w:r>
      <w:r>
        <w:rPr>
          <w:rFonts w:ascii="Arial" w:hAnsi="Arial"/>
          <w:sz w:val="22"/>
          <w:szCs w:val="22"/>
        </w:rPr>
        <w:t>n</w:t>
      </w:r>
      <w:r>
        <w:rPr>
          <w:rFonts w:ascii="Arial" w:hAnsi="Arial"/>
          <w:sz w:val="22"/>
          <w:szCs w:val="22"/>
        </w:rPr>
        <w:t>junto de una instalación de inyección de tinta para la impresión digital de ca</w:t>
      </w:r>
      <w:r>
        <w:rPr>
          <w:rFonts w:ascii="Arial" w:hAnsi="Arial"/>
          <w:sz w:val="22"/>
          <w:szCs w:val="22"/>
        </w:rPr>
        <w:t>r</w:t>
      </w:r>
      <w:r>
        <w:rPr>
          <w:rFonts w:ascii="Arial" w:hAnsi="Arial"/>
          <w:sz w:val="22"/>
          <w:szCs w:val="22"/>
        </w:rPr>
        <w:t>tón ondulado.</w:t>
      </w:r>
    </w:p>
    <w:p w:rsidR="0055539E" w:rsidRPr="00946D1A" w:rsidRDefault="0055539E" w:rsidP="002B68BE">
      <w:pPr>
        <w:tabs>
          <w:tab w:val="left" w:pos="7655"/>
        </w:tabs>
        <w:autoSpaceDE/>
        <w:autoSpaceDN/>
        <w:spacing w:line="360" w:lineRule="auto"/>
        <w:ind w:right="2033"/>
        <w:rPr>
          <w:rFonts w:ascii="Arial" w:hAnsi="Arial" w:cs="Arial"/>
          <w:sz w:val="22"/>
          <w:szCs w:val="22"/>
        </w:rPr>
      </w:pPr>
    </w:p>
    <w:p w:rsidR="00946D1A" w:rsidRDefault="0055539E" w:rsidP="002B68BE">
      <w:pPr>
        <w:widowControl w:val="0"/>
        <w:tabs>
          <w:tab w:val="left" w:pos="7655"/>
        </w:tabs>
        <w:adjustRightInd w:val="0"/>
        <w:spacing w:line="360" w:lineRule="auto"/>
        <w:ind w:right="2033"/>
        <w:textAlignment w:val="center"/>
        <w:rPr>
          <w:rFonts w:ascii="Arial" w:hAnsi="Arial" w:cs="Arial"/>
          <w:sz w:val="22"/>
          <w:szCs w:val="22"/>
        </w:rPr>
      </w:pPr>
      <w:r>
        <w:rPr>
          <w:rFonts w:ascii="Arial" w:hAnsi="Arial"/>
          <w:sz w:val="22"/>
          <w:szCs w:val="22"/>
        </w:rPr>
        <w:t>En el segmento en expansión de los envases, el Grupo KBA ya está bien p</w:t>
      </w:r>
      <w:r>
        <w:rPr>
          <w:rFonts w:ascii="Arial" w:hAnsi="Arial"/>
          <w:sz w:val="22"/>
          <w:szCs w:val="22"/>
        </w:rPr>
        <w:t>o</w:t>
      </w:r>
      <w:r>
        <w:rPr>
          <w:rFonts w:ascii="Arial" w:hAnsi="Arial"/>
          <w:sz w:val="22"/>
          <w:szCs w:val="22"/>
        </w:rPr>
        <w:t>sicionado y es líder en la impresión de cartonajes, metal e impresión directa sobre cristal. La integración de KBA-Flexotecnica –especializada en envases flexibles– deberá recibir un fuerte impulso durante 2015. KBA-</w:t>
      </w:r>
      <w:proofErr w:type="spellStart"/>
      <w:r>
        <w:rPr>
          <w:rFonts w:ascii="Arial" w:hAnsi="Arial"/>
          <w:sz w:val="22"/>
          <w:szCs w:val="22"/>
        </w:rPr>
        <w:t>Kamman</w:t>
      </w:r>
      <w:proofErr w:type="spellEnd"/>
      <w:r>
        <w:rPr>
          <w:rFonts w:ascii="Arial" w:hAnsi="Arial"/>
          <w:sz w:val="22"/>
          <w:szCs w:val="22"/>
        </w:rPr>
        <w:t xml:space="preserve"> se centra en instalaciones para la decoración de cuerpos huecos de gama alta y coopera con KBA-MePrint en un nuevo desarrollo para la impresión de etiqu</w:t>
      </w:r>
      <w:r>
        <w:rPr>
          <w:rFonts w:ascii="Arial" w:hAnsi="Arial"/>
          <w:sz w:val="22"/>
          <w:szCs w:val="22"/>
        </w:rPr>
        <w:t>e</w:t>
      </w:r>
      <w:r>
        <w:rPr>
          <w:rFonts w:ascii="Arial" w:hAnsi="Arial"/>
          <w:sz w:val="22"/>
          <w:szCs w:val="22"/>
        </w:rPr>
        <w:t>tas de alta calidad. KBA-</w:t>
      </w:r>
      <w:proofErr w:type="spellStart"/>
      <w:r>
        <w:rPr>
          <w:rFonts w:ascii="Arial" w:hAnsi="Arial"/>
          <w:sz w:val="22"/>
          <w:szCs w:val="22"/>
        </w:rPr>
        <w:t>Metronic</w:t>
      </w:r>
      <w:proofErr w:type="spellEnd"/>
      <w:r>
        <w:rPr>
          <w:rFonts w:ascii="Arial" w:hAnsi="Arial"/>
          <w:sz w:val="22"/>
          <w:szCs w:val="22"/>
        </w:rPr>
        <w:t>, con sus sistemas de marcación, quiere continuar creciendo en Asia. Adicionalmente, el grupo empresarial quiere a</w:t>
      </w:r>
      <w:r>
        <w:rPr>
          <w:rFonts w:ascii="Arial" w:hAnsi="Arial"/>
          <w:sz w:val="22"/>
          <w:szCs w:val="22"/>
        </w:rPr>
        <w:t>u</w:t>
      </w:r>
      <w:r>
        <w:rPr>
          <w:rFonts w:ascii="Arial" w:hAnsi="Arial"/>
          <w:sz w:val="22"/>
          <w:szCs w:val="22"/>
        </w:rPr>
        <w:t>mentar más su volumen de negocio en el rentable sector de los servicios y el comercio.</w:t>
      </w:r>
    </w:p>
    <w:p w:rsidR="00022DCE" w:rsidRDefault="00022DCE" w:rsidP="002B68BE">
      <w:pPr>
        <w:widowControl w:val="0"/>
        <w:tabs>
          <w:tab w:val="left" w:pos="7655"/>
        </w:tabs>
        <w:adjustRightInd w:val="0"/>
        <w:spacing w:line="360" w:lineRule="auto"/>
        <w:ind w:right="2033"/>
        <w:textAlignment w:val="center"/>
        <w:rPr>
          <w:rFonts w:ascii="Arial" w:hAnsi="Arial" w:cs="Arial"/>
          <w:sz w:val="22"/>
          <w:szCs w:val="22"/>
        </w:rPr>
      </w:pPr>
    </w:p>
    <w:p w:rsidR="0084298A" w:rsidRDefault="0084298A" w:rsidP="008B2515">
      <w:pPr>
        <w:widowControl w:val="0"/>
        <w:adjustRightInd w:val="0"/>
        <w:spacing w:line="360" w:lineRule="auto"/>
        <w:ind w:right="1863"/>
        <w:textAlignment w:val="center"/>
        <w:rPr>
          <w:rFonts w:ascii="Arial" w:hAnsi="Arial" w:cs="Arial"/>
          <w:spacing w:val="2"/>
          <w:sz w:val="22"/>
          <w:szCs w:val="22"/>
        </w:rPr>
      </w:pPr>
      <w:r>
        <w:rPr>
          <w:rFonts w:ascii="Arial" w:hAnsi="Arial"/>
          <w:sz w:val="22"/>
          <w:szCs w:val="22"/>
        </w:rPr>
        <w:t xml:space="preserve">Para el próximo balance anual de 2015, la Junta Directiva no espera que se produzcan gastos extraordinarios significativos, puesto que el </w:t>
      </w:r>
      <w:r>
        <w:rPr>
          <w:rFonts w:ascii="Arial" w:hAnsi="Arial"/>
          <w:spacing w:val="2"/>
          <w:sz w:val="22"/>
          <w:szCs w:val="22"/>
        </w:rPr>
        <w:t>programa de r</w:t>
      </w:r>
      <w:r>
        <w:rPr>
          <w:rFonts w:ascii="Arial" w:hAnsi="Arial"/>
          <w:spacing w:val="2"/>
          <w:sz w:val="22"/>
          <w:szCs w:val="22"/>
        </w:rPr>
        <w:t>e</w:t>
      </w:r>
      <w:r>
        <w:rPr>
          <w:rFonts w:ascii="Arial" w:hAnsi="Arial"/>
          <w:spacing w:val="2"/>
          <w:sz w:val="22"/>
          <w:szCs w:val="22"/>
        </w:rPr>
        <w:t>estructuración</w:t>
      </w:r>
      <w:r>
        <w:rPr>
          <w:rFonts w:ascii="Arial" w:hAnsi="Arial"/>
          <w:sz w:val="22"/>
          <w:szCs w:val="22"/>
        </w:rPr>
        <w:t xml:space="preserve"> prácticamente habrá concluido. Por el contrario, los efectos de reducción de la carga fruto de las medidas implementadas se traducirán de forma cada vez más positiva en el resultado y</w:t>
      </w:r>
      <w:r>
        <w:rPr>
          <w:rFonts w:ascii="Arial" w:hAnsi="Arial"/>
          <w:spacing w:val="2"/>
          <w:sz w:val="22"/>
          <w:szCs w:val="22"/>
        </w:rPr>
        <w:t xml:space="preserve"> la liquidez disponible. Si las condiciones marco permanecen mínimamente estables, la Junta Directiva prevé obtener durante el ejercicio 2015 un volumen de negocio del grupo de unos 1.000 </w:t>
      </w:r>
      <w:proofErr w:type="spellStart"/>
      <w:r>
        <w:rPr>
          <w:rFonts w:ascii="Arial" w:hAnsi="Arial"/>
          <w:spacing w:val="2"/>
          <w:sz w:val="22"/>
          <w:szCs w:val="22"/>
        </w:rPr>
        <w:t>mill</w:t>
      </w:r>
      <w:proofErr w:type="spellEnd"/>
      <w:r>
        <w:rPr>
          <w:rFonts w:ascii="Arial" w:hAnsi="Arial"/>
          <w:spacing w:val="2"/>
          <w:sz w:val="22"/>
          <w:szCs w:val="22"/>
        </w:rPr>
        <w:t>. € y, en comparación con 2014, espera una mejora del resu</w:t>
      </w:r>
      <w:r>
        <w:rPr>
          <w:rFonts w:ascii="Arial" w:hAnsi="Arial"/>
          <w:spacing w:val="2"/>
          <w:sz w:val="22"/>
          <w:szCs w:val="22"/>
        </w:rPr>
        <w:t>l</w:t>
      </w:r>
      <w:r>
        <w:rPr>
          <w:rFonts w:ascii="Arial" w:hAnsi="Arial"/>
          <w:spacing w:val="2"/>
          <w:sz w:val="22"/>
          <w:szCs w:val="22"/>
        </w:rPr>
        <w:t>tado con un margen EBT de hasta un 2 %.</w:t>
      </w:r>
    </w:p>
    <w:p w:rsidR="00B3562D" w:rsidRPr="0084298A" w:rsidRDefault="00B3562D" w:rsidP="002B68BE">
      <w:pPr>
        <w:widowControl w:val="0"/>
        <w:tabs>
          <w:tab w:val="left" w:pos="7371"/>
          <w:tab w:val="left" w:pos="7655"/>
        </w:tabs>
        <w:adjustRightInd w:val="0"/>
        <w:spacing w:line="360" w:lineRule="auto"/>
        <w:ind w:right="2033"/>
        <w:textAlignment w:val="center"/>
        <w:rPr>
          <w:rFonts w:ascii="Arial" w:hAnsi="Arial" w:cs="Arial"/>
          <w:spacing w:val="2"/>
          <w:sz w:val="22"/>
          <w:szCs w:val="22"/>
        </w:rPr>
      </w:pPr>
    </w:p>
    <w:p w:rsidR="0084298A" w:rsidRPr="00946D1A" w:rsidRDefault="0084298A" w:rsidP="002B68BE">
      <w:pPr>
        <w:widowControl w:val="0"/>
        <w:tabs>
          <w:tab w:val="left" w:pos="7655"/>
        </w:tabs>
        <w:adjustRightInd w:val="0"/>
        <w:spacing w:line="360" w:lineRule="auto"/>
        <w:ind w:right="2033"/>
        <w:textAlignment w:val="center"/>
        <w:rPr>
          <w:rFonts w:ascii="Arial" w:hAnsi="Arial" w:cs="Arial"/>
          <w:sz w:val="22"/>
          <w:szCs w:val="22"/>
        </w:rPr>
      </w:pPr>
      <w:r>
        <w:rPr>
          <w:rFonts w:ascii="Arial" w:hAnsi="Arial"/>
          <w:sz w:val="22"/>
          <w:szCs w:val="22"/>
        </w:rPr>
        <w:t>A tenor de la volátil situación económica y política, a día de hoy la gerencia considera que realizar más afirmaciones sobre el ejercicio 2015 y más allá está sujeto a múltiples incertidumbres.</w:t>
      </w:r>
    </w:p>
    <w:p w:rsidR="00084822" w:rsidRDefault="00084822" w:rsidP="002B68BE">
      <w:pPr>
        <w:pStyle w:val="Textkrper2"/>
        <w:tabs>
          <w:tab w:val="left" w:pos="6521"/>
          <w:tab w:val="left" w:pos="7655"/>
        </w:tabs>
        <w:ind w:right="2033"/>
        <w:rPr>
          <w:i w:val="0"/>
          <w:iCs w:val="0"/>
        </w:rPr>
      </w:pPr>
    </w:p>
    <w:p w:rsidR="00084822" w:rsidRPr="0079724D" w:rsidRDefault="00084822" w:rsidP="007617F5">
      <w:pPr>
        <w:pStyle w:val="Textkrper2"/>
        <w:tabs>
          <w:tab w:val="left" w:pos="6521"/>
          <w:tab w:val="left" w:pos="7655"/>
        </w:tabs>
        <w:ind w:right="2033"/>
        <w:rPr>
          <w:i w:val="0"/>
          <w:iCs w:val="0"/>
        </w:rPr>
      </w:pPr>
    </w:p>
    <w:p w:rsidR="00B65994" w:rsidRDefault="00887FDF" w:rsidP="007617F5">
      <w:pPr>
        <w:pStyle w:val="Textkrper2"/>
        <w:tabs>
          <w:tab w:val="left" w:pos="6804"/>
          <w:tab w:val="left" w:pos="7655"/>
        </w:tabs>
        <w:ind w:right="2033"/>
        <w:rPr>
          <w:i w:val="0"/>
          <w:iCs w:val="0"/>
          <w:snapToGrid w:val="0"/>
          <w:sz w:val="20"/>
          <w:szCs w:val="20"/>
        </w:rPr>
      </w:pPr>
      <w:r>
        <w:rPr>
          <w:b/>
          <w:bCs/>
          <w:i w:val="0"/>
          <w:iCs w:val="0"/>
          <w:snapToGrid w:val="0"/>
          <w:sz w:val="20"/>
          <w:szCs w:val="20"/>
        </w:rPr>
        <w:t>Nota importante:</w:t>
      </w:r>
      <w:r>
        <w:br/>
      </w:r>
      <w:r>
        <w:rPr>
          <w:i w:val="0"/>
          <w:iCs w:val="0"/>
          <w:snapToGrid w:val="0"/>
          <w:sz w:val="20"/>
          <w:szCs w:val="20"/>
        </w:rPr>
        <w:t>Esta nota de prensa incluye afirmaciones de carácter prospectivo basadas en supue</w:t>
      </w:r>
      <w:r>
        <w:rPr>
          <w:i w:val="0"/>
          <w:iCs w:val="0"/>
          <w:snapToGrid w:val="0"/>
          <w:sz w:val="20"/>
          <w:szCs w:val="20"/>
        </w:rPr>
        <w:t>s</w:t>
      </w:r>
      <w:r>
        <w:rPr>
          <w:i w:val="0"/>
          <w:iCs w:val="0"/>
          <w:snapToGrid w:val="0"/>
          <w:sz w:val="20"/>
          <w:szCs w:val="20"/>
        </w:rPr>
        <w:t>tos fundamentados y cómputos aproximados de la gerencia empresarial de Koenig &amp; Bauer AG. Aunque la gerencia empresarial considere que estas suposiciones y est</w:t>
      </w:r>
      <w:r>
        <w:rPr>
          <w:i w:val="0"/>
          <w:iCs w:val="0"/>
          <w:snapToGrid w:val="0"/>
          <w:sz w:val="20"/>
          <w:szCs w:val="20"/>
        </w:rPr>
        <w:t>i</w:t>
      </w:r>
      <w:r>
        <w:rPr>
          <w:i w:val="0"/>
          <w:iCs w:val="0"/>
          <w:snapToGrid w:val="0"/>
          <w:sz w:val="20"/>
          <w:szCs w:val="20"/>
        </w:rPr>
        <w:t>maciones son acertadas, la evolución real futura y los resultados reales futuros pu</w:t>
      </w:r>
      <w:r>
        <w:rPr>
          <w:i w:val="0"/>
          <w:iCs w:val="0"/>
          <w:snapToGrid w:val="0"/>
          <w:sz w:val="20"/>
          <w:szCs w:val="20"/>
        </w:rPr>
        <w:t>e</w:t>
      </w:r>
      <w:r>
        <w:rPr>
          <w:i w:val="0"/>
          <w:iCs w:val="0"/>
          <w:snapToGrid w:val="0"/>
          <w:sz w:val="20"/>
          <w:szCs w:val="20"/>
        </w:rPr>
        <w:t>den divergir debido a múltiples factores no influenciables por la empresa. Estos fact</w:t>
      </w:r>
      <w:r>
        <w:rPr>
          <w:i w:val="0"/>
          <w:iCs w:val="0"/>
          <w:snapToGrid w:val="0"/>
          <w:sz w:val="20"/>
          <w:szCs w:val="20"/>
        </w:rPr>
        <w:t>o</w:t>
      </w:r>
      <w:r>
        <w:rPr>
          <w:i w:val="0"/>
          <w:iCs w:val="0"/>
          <w:snapToGrid w:val="0"/>
          <w:sz w:val="20"/>
          <w:szCs w:val="20"/>
        </w:rPr>
        <w:t>res pueden incluir, por ejemplo, la modificación de la situación económica, de los tipos cambiarios, así como cambios dentro del sector gráfico. Koenig &amp; Bauer AG no as</w:t>
      </w:r>
      <w:r>
        <w:rPr>
          <w:i w:val="0"/>
          <w:iCs w:val="0"/>
          <w:snapToGrid w:val="0"/>
          <w:sz w:val="20"/>
          <w:szCs w:val="20"/>
        </w:rPr>
        <w:t>u</w:t>
      </w:r>
      <w:r>
        <w:rPr>
          <w:i w:val="0"/>
          <w:iCs w:val="0"/>
          <w:snapToGrid w:val="0"/>
          <w:sz w:val="20"/>
          <w:szCs w:val="20"/>
        </w:rPr>
        <w:t>me responsabilidad alguna ni garantiza que la evolución futura y los resultados obt</w:t>
      </w:r>
      <w:r>
        <w:rPr>
          <w:i w:val="0"/>
          <w:iCs w:val="0"/>
          <w:snapToGrid w:val="0"/>
          <w:sz w:val="20"/>
          <w:szCs w:val="20"/>
        </w:rPr>
        <w:t>e</w:t>
      </w:r>
      <w:r>
        <w:rPr>
          <w:i w:val="0"/>
          <w:iCs w:val="0"/>
          <w:snapToGrid w:val="0"/>
          <w:sz w:val="20"/>
          <w:szCs w:val="20"/>
        </w:rPr>
        <w:t>nidos realmente en el futuro sean idénticos con las cifras y las afirmaciones incluidas en esta nota de prensa.</w:t>
      </w:r>
    </w:p>
    <w:p w:rsidR="000F6E62" w:rsidRPr="00A775BA" w:rsidRDefault="00887FDF" w:rsidP="007617F5">
      <w:pPr>
        <w:pStyle w:val="Textkrper2"/>
        <w:tabs>
          <w:tab w:val="left" w:pos="6804"/>
          <w:tab w:val="left" w:pos="7655"/>
        </w:tabs>
        <w:ind w:right="2033"/>
        <w:rPr>
          <w:i w:val="0"/>
          <w:iCs w:val="0"/>
          <w:snapToGrid w:val="0"/>
          <w:sz w:val="20"/>
          <w:szCs w:val="20"/>
        </w:rPr>
      </w:pPr>
      <w:r>
        <w:rPr>
          <w:i w:val="0"/>
          <w:iCs w:val="0"/>
          <w:snapToGrid w:val="0"/>
          <w:sz w:val="20"/>
          <w:szCs w:val="20"/>
        </w:rPr>
        <w:t xml:space="preserve"> </w:t>
      </w:r>
    </w:p>
    <w:p w:rsidR="009A0D66" w:rsidRDefault="009A0D66"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DC543F" w:rsidRDefault="00DC543F" w:rsidP="007617F5">
      <w:pPr>
        <w:pStyle w:val="Textkrper2"/>
        <w:tabs>
          <w:tab w:val="left" w:pos="6804"/>
          <w:tab w:val="left" w:pos="7655"/>
        </w:tabs>
        <w:ind w:right="2033"/>
        <w:rPr>
          <w:i w:val="0"/>
          <w:iCs w:val="0"/>
          <w:snapToGrid w:val="0"/>
          <w:sz w:val="20"/>
          <w:szCs w:val="20"/>
        </w:rPr>
      </w:pPr>
    </w:p>
    <w:p w:rsidR="000F6E62" w:rsidRPr="00B65994" w:rsidRDefault="000F6E62" w:rsidP="007617F5">
      <w:pPr>
        <w:pStyle w:val="Textkrper2"/>
        <w:tabs>
          <w:tab w:val="left" w:pos="6804"/>
          <w:tab w:val="left" w:pos="7655"/>
        </w:tabs>
        <w:ind w:right="2033"/>
        <w:rPr>
          <w:i w:val="0"/>
          <w:iCs w:val="0"/>
          <w:snapToGrid w:val="0"/>
          <w:sz w:val="20"/>
          <w:szCs w:val="20"/>
        </w:rPr>
      </w:pPr>
    </w:p>
    <w:p w:rsidR="00B65994" w:rsidRDefault="00B65994" w:rsidP="00B65994">
      <w:pPr>
        <w:pStyle w:val="Textkrper2"/>
        <w:tabs>
          <w:tab w:val="left" w:pos="6804"/>
        </w:tabs>
        <w:ind w:right="1417"/>
        <w:rPr>
          <w:u w:val="single"/>
        </w:rPr>
      </w:pPr>
      <w:r>
        <w:rPr>
          <w:sz w:val="20"/>
          <w:szCs w:val="20"/>
        </w:rPr>
        <w:t xml:space="preserve">El informe completo del grupo empresarial correspondiente a 2014 está disponible para su descarga en PDF en </w:t>
      </w:r>
      <w:hyperlink r:id="rId9">
        <w:r>
          <w:rPr>
            <w:rStyle w:val="Hyperlink"/>
          </w:rPr>
          <w:t>http://www.kba.com/investor-relations/berichte/berichte-2014/</w:t>
        </w:r>
      </w:hyperlink>
      <w:r>
        <w:rPr>
          <w:u w:val="single"/>
        </w:rPr>
        <w:t xml:space="preserve"> </w:t>
      </w:r>
    </w:p>
    <w:p w:rsidR="00847A1F" w:rsidRDefault="00847A1F" w:rsidP="00B65994">
      <w:pPr>
        <w:pStyle w:val="Textkrper2"/>
        <w:tabs>
          <w:tab w:val="left" w:pos="6804"/>
        </w:tabs>
        <w:ind w:right="1417"/>
        <w:rPr>
          <w:u w:val="single"/>
        </w:rPr>
      </w:pPr>
    </w:p>
    <w:p w:rsidR="00847A1F" w:rsidRDefault="00847A1F" w:rsidP="00847A1F">
      <w:pPr>
        <w:pStyle w:val="Textkrper2"/>
        <w:tabs>
          <w:tab w:val="left" w:pos="6804"/>
        </w:tabs>
        <w:ind w:right="1417"/>
        <w:rPr>
          <w:i w:val="0"/>
          <w:iCs w:val="0"/>
          <w:snapToGrid w:val="0"/>
          <w:sz w:val="18"/>
          <w:szCs w:val="18"/>
        </w:rPr>
      </w:pPr>
    </w:p>
    <w:tbl>
      <w:tblPr>
        <w:tblpPr w:leftFromText="141" w:rightFromText="141" w:vertAnchor="text" w:tblpY="1"/>
        <w:tblOverlap w:val="neve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1275"/>
        <w:gridCol w:w="1701"/>
      </w:tblGrid>
      <w:tr w:rsidR="00847A1F" w:rsidRPr="0079724D" w:rsidTr="00950CE6">
        <w:trPr>
          <w:trHeight w:val="699"/>
        </w:trPr>
        <w:tc>
          <w:tcPr>
            <w:tcW w:w="3544" w:type="dxa"/>
            <w:vAlign w:val="center"/>
          </w:tcPr>
          <w:p w:rsidR="00847A1F" w:rsidRPr="00084822" w:rsidRDefault="00847A1F" w:rsidP="00457FEB">
            <w:pPr>
              <w:ind w:right="-1446"/>
              <w:rPr>
                <w:rFonts w:ascii="Arial" w:hAnsi="Arial" w:cs="Arial"/>
                <w:b/>
                <w:bCs/>
                <w:sz w:val="22"/>
                <w:szCs w:val="22"/>
              </w:rPr>
            </w:pPr>
            <w:r>
              <w:br w:type="page"/>
            </w:r>
            <w:r>
              <w:br w:type="page"/>
            </w:r>
            <w:r>
              <w:br w:type="page"/>
            </w:r>
            <w:r>
              <w:br w:type="page"/>
            </w:r>
            <w:r>
              <w:rPr>
                <w:rFonts w:ascii="Arial" w:hAnsi="Arial"/>
                <w:b/>
                <w:bCs/>
                <w:sz w:val="22"/>
                <w:szCs w:val="22"/>
              </w:rPr>
              <w:t>Grupo Koenig &amp; Bauer</w:t>
            </w:r>
          </w:p>
        </w:tc>
        <w:tc>
          <w:tcPr>
            <w:tcW w:w="1418" w:type="dxa"/>
            <w:vAlign w:val="center"/>
          </w:tcPr>
          <w:p w:rsidR="00847A1F" w:rsidRPr="00084822" w:rsidRDefault="00847A1F" w:rsidP="00457FEB">
            <w:pPr>
              <w:ind w:right="-1446"/>
              <w:rPr>
                <w:rFonts w:ascii="Arial" w:hAnsi="Arial" w:cs="Arial"/>
                <w:b/>
                <w:bCs/>
                <w:sz w:val="22"/>
                <w:szCs w:val="22"/>
              </w:rPr>
            </w:pPr>
            <w:r>
              <w:rPr>
                <w:rFonts w:ascii="Arial" w:hAnsi="Arial"/>
                <w:b/>
                <w:bCs/>
                <w:sz w:val="22"/>
                <w:szCs w:val="22"/>
              </w:rPr>
              <w:t>31.12.2013</w:t>
            </w:r>
          </w:p>
          <w:p w:rsidR="00847A1F" w:rsidRPr="00084822" w:rsidRDefault="00847A1F" w:rsidP="00457FEB">
            <w:pPr>
              <w:ind w:right="-1446"/>
              <w:rPr>
                <w:rFonts w:ascii="Arial" w:hAnsi="Arial" w:cs="Arial"/>
                <w:sz w:val="22"/>
                <w:szCs w:val="22"/>
              </w:rPr>
            </w:pPr>
            <w:r>
              <w:rPr>
                <w:rFonts w:ascii="Arial" w:hAnsi="Arial"/>
                <w:bCs/>
                <w:sz w:val="22"/>
                <w:szCs w:val="22"/>
              </w:rPr>
              <w:t xml:space="preserve">en </w:t>
            </w:r>
            <w:proofErr w:type="spellStart"/>
            <w:r>
              <w:rPr>
                <w:rFonts w:ascii="Arial" w:hAnsi="Arial"/>
                <w:bCs/>
                <w:sz w:val="22"/>
                <w:szCs w:val="22"/>
              </w:rPr>
              <w:t>mill</w:t>
            </w:r>
            <w:proofErr w:type="spellEnd"/>
            <w:r>
              <w:rPr>
                <w:rFonts w:ascii="Arial" w:hAnsi="Arial"/>
                <w:bCs/>
                <w:sz w:val="22"/>
                <w:szCs w:val="22"/>
              </w:rPr>
              <w:t>. €</w:t>
            </w:r>
          </w:p>
        </w:tc>
        <w:tc>
          <w:tcPr>
            <w:tcW w:w="1275" w:type="dxa"/>
            <w:shd w:val="clear" w:color="auto" w:fill="D9D9D9" w:themeFill="background1" w:themeFillShade="D9"/>
            <w:vAlign w:val="center"/>
          </w:tcPr>
          <w:p w:rsidR="00847A1F" w:rsidRPr="00084822" w:rsidRDefault="00847A1F" w:rsidP="00457FEB">
            <w:pPr>
              <w:ind w:right="-173"/>
              <w:jc w:val="center"/>
              <w:rPr>
                <w:rFonts w:ascii="Arial" w:hAnsi="Arial" w:cs="Arial"/>
                <w:b/>
                <w:sz w:val="22"/>
                <w:szCs w:val="22"/>
              </w:rPr>
            </w:pPr>
            <w:r>
              <w:rPr>
                <w:rFonts w:ascii="Arial" w:hAnsi="Arial"/>
                <w:b/>
                <w:sz w:val="22"/>
                <w:szCs w:val="22"/>
              </w:rPr>
              <w:t>31.12.2014</w:t>
            </w:r>
          </w:p>
          <w:p w:rsidR="00847A1F" w:rsidRPr="00084822" w:rsidRDefault="00847A1F" w:rsidP="00457FEB">
            <w:pPr>
              <w:ind w:right="-173"/>
              <w:jc w:val="center"/>
              <w:rPr>
                <w:rFonts w:ascii="Arial" w:hAnsi="Arial" w:cs="Arial"/>
                <w:sz w:val="22"/>
                <w:szCs w:val="22"/>
              </w:rPr>
            </w:pPr>
            <w:r>
              <w:rPr>
                <w:rFonts w:ascii="Arial" w:hAnsi="Arial"/>
                <w:sz w:val="22"/>
                <w:szCs w:val="22"/>
              </w:rPr>
              <w:t xml:space="preserve">en </w:t>
            </w:r>
            <w:proofErr w:type="spellStart"/>
            <w:r>
              <w:rPr>
                <w:rFonts w:ascii="Arial" w:hAnsi="Arial"/>
                <w:sz w:val="22"/>
                <w:szCs w:val="22"/>
              </w:rPr>
              <w:t>mill</w:t>
            </w:r>
            <w:proofErr w:type="spellEnd"/>
            <w:r>
              <w:rPr>
                <w:rFonts w:ascii="Arial" w:hAnsi="Arial"/>
                <w:sz w:val="22"/>
                <w:szCs w:val="22"/>
              </w:rPr>
              <w:t>. €</w:t>
            </w:r>
          </w:p>
        </w:tc>
        <w:tc>
          <w:tcPr>
            <w:tcW w:w="1701" w:type="dxa"/>
            <w:vAlign w:val="center"/>
          </w:tcPr>
          <w:p w:rsidR="00847A1F" w:rsidRPr="0079724D" w:rsidRDefault="00847A1F" w:rsidP="00457FEB">
            <w:pPr>
              <w:ind w:right="-173"/>
              <w:rPr>
                <w:rFonts w:ascii="Arial" w:hAnsi="Arial" w:cs="Arial"/>
                <w:b/>
                <w:bCs/>
                <w:sz w:val="22"/>
                <w:szCs w:val="22"/>
              </w:rPr>
            </w:pPr>
            <w:r>
              <w:rPr>
                <w:rFonts w:ascii="Arial" w:hAnsi="Arial"/>
                <w:b/>
                <w:bCs/>
                <w:sz w:val="22"/>
                <w:szCs w:val="22"/>
              </w:rPr>
              <w:t>Modificación</w:t>
            </w:r>
          </w:p>
        </w:tc>
      </w:tr>
      <w:tr w:rsidR="00847A1F" w:rsidRPr="0079724D" w:rsidTr="00950CE6">
        <w:trPr>
          <w:trHeight w:hRule="exact" w:val="1140"/>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Entrada de pedidos</w:t>
            </w:r>
          </w:p>
          <w:p w:rsidR="00847A1F" w:rsidRPr="0079724D" w:rsidRDefault="00847A1F" w:rsidP="00457FEB">
            <w:pPr>
              <w:ind w:right="-1446"/>
              <w:rPr>
                <w:rFonts w:ascii="Arial" w:hAnsi="Arial" w:cs="Arial"/>
                <w:sz w:val="22"/>
                <w:szCs w:val="22"/>
              </w:rPr>
            </w:pPr>
            <w:r>
              <w:rPr>
                <w:rFonts w:ascii="Arial" w:hAnsi="Arial"/>
                <w:sz w:val="22"/>
                <w:szCs w:val="22"/>
              </w:rPr>
              <w:t>Máquinas de bobina y especiales</w:t>
            </w:r>
          </w:p>
          <w:p w:rsidR="00847A1F" w:rsidRPr="0079724D" w:rsidRDefault="00847A1F" w:rsidP="00457FEB">
            <w:pPr>
              <w:ind w:right="-1446"/>
              <w:rPr>
                <w:rFonts w:ascii="Arial" w:hAnsi="Arial" w:cs="Arial"/>
                <w:sz w:val="22"/>
                <w:szCs w:val="22"/>
              </w:rPr>
            </w:pPr>
            <w:r>
              <w:rPr>
                <w:rFonts w:ascii="Arial" w:hAnsi="Arial"/>
                <w:sz w:val="22"/>
                <w:szCs w:val="22"/>
              </w:rPr>
              <w:t>Máquinas offset de pliegos</w:t>
            </w:r>
          </w:p>
        </w:tc>
        <w:tc>
          <w:tcPr>
            <w:tcW w:w="1418" w:type="dxa"/>
            <w:vAlign w:val="center"/>
          </w:tcPr>
          <w:p w:rsidR="00847A1F" w:rsidRDefault="00847A1F" w:rsidP="00457FEB">
            <w:pPr>
              <w:ind w:right="457"/>
              <w:jc w:val="right"/>
              <w:rPr>
                <w:rFonts w:ascii="Arial" w:hAnsi="Arial" w:cs="Arial"/>
                <w:b/>
                <w:bCs/>
                <w:sz w:val="22"/>
                <w:szCs w:val="22"/>
              </w:rPr>
            </w:pPr>
          </w:p>
          <w:p w:rsidR="00847A1F" w:rsidRPr="0079724D" w:rsidRDefault="00847A1F" w:rsidP="00457FEB">
            <w:pPr>
              <w:ind w:right="457"/>
              <w:jc w:val="right"/>
              <w:rPr>
                <w:rFonts w:ascii="Arial" w:hAnsi="Arial" w:cs="Arial"/>
                <w:b/>
                <w:bCs/>
                <w:sz w:val="22"/>
                <w:szCs w:val="22"/>
              </w:rPr>
            </w:pPr>
            <w:r>
              <w:rPr>
                <w:rFonts w:ascii="Arial" w:hAnsi="Arial"/>
                <w:b/>
                <w:bCs/>
                <w:sz w:val="22"/>
                <w:szCs w:val="22"/>
              </w:rPr>
              <w:t>1.012,2</w:t>
            </w:r>
          </w:p>
          <w:p w:rsidR="00847A1F" w:rsidRPr="0079724D" w:rsidRDefault="00847A1F" w:rsidP="00457FEB">
            <w:pPr>
              <w:ind w:right="457"/>
              <w:jc w:val="right"/>
              <w:rPr>
                <w:rFonts w:ascii="Arial" w:hAnsi="Arial" w:cs="Arial"/>
                <w:sz w:val="22"/>
                <w:szCs w:val="22"/>
              </w:rPr>
            </w:pPr>
            <w:r>
              <w:rPr>
                <w:rFonts w:ascii="Arial" w:hAnsi="Arial"/>
                <w:sz w:val="22"/>
                <w:szCs w:val="22"/>
              </w:rPr>
              <w:t>404,2</w:t>
            </w:r>
          </w:p>
          <w:p w:rsidR="00847A1F" w:rsidRPr="0079724D" w:rsidRDefault="00847A1F" w:rsidP="00457FEB">
            <w:pPr>
              <w:ind w:right="457"/>
              <w:jc w:val="right"/>
              <w:rPr>
                <w:rFonts w:ascii="Arial" w:hAnsi="Arial" w:cs="Arial"/>
                <w:sz w:val="22"/>
                <w:szCs w:val="22"/>
              </w:rPr>
            </w:pPr>
            <w:r>
              <w:rPr>
                <w:rFonts w:ascii="Arial" w:hAnsi="Arial"/>
                <w:sz w:val="22"/>
                <w:szCs w:val="22"/>
              </w:rPr>
              <w:t>608,0</w:t>
            </w:r>
          </w:p>
          <w:p w:rsidR="00847A1F" w:rsidRPr="0079724D" w:rsidRDefault="00847A1F" w:rsidP="00457FEB">
            <w:pPr>
              <w:ind w:right="-1446"/>
              <w:jc w:val="right"/>
              <w:rPr>
                <w:rFonts w:ascii="Arial" w:hAnsi="Arial" w:cs="Arial"/>
                <w:sz w:val="22"/>
                <w:szCs w:val="22"/>
              </w:rPr>
            </w:pPr>
          </w:p>
        </w:tc>
        <w:tc>
          <w:tcPr>
            <w:tcW w:w="1275" w:type="dxa"/>
            <w:shd w:val="clear" w:color="auto" w:fill="D9D9D9" w:themeFill="background1" w:themeFillShade="D9"/>
            <w:vAlign w:val="center"/>
          </w:tcPr>
          <w:p w:rsidR="00847A1F" w:rsidRDefault="00847A1F" w:rsidP="00457FEB">
            <w:pPr>
              <w:ind w:right="458"/>
              <w:jc w:val="right"/>
              <w:rPr>
                <w:rFonts w:ascii="Arial" w:hAnsi="Arial" w:cs="Arial"/>
                <w:b/>
                <w:sz w:val="22"/>
                <w:szCs w:val="22"/>
              </w:rPr>
            </w:pPr>
          </w:p>
          <w:p w:rsidR="00847A1F" w:rsidRDefault="00847A1F" w:rsidP="00457FEB">
            <w:pPr>
              <w:ind w:right="458"/>
              <w:jc w:val="right"/>
              <w:rPr>
                <w:rFonts w:ascii="Arial" w:hAnsi="Arial" w:cs="Arial"/>
                <w:b/>
                <w:sz w:val="22"/>
                <w:szCs w:val="22"/>
              </w:rPr>
            </w:pPr>
            <w:r>
              <w:rPr>
                <w:rFonts w:ascii="Arial" w:hAnsi="Arial"/>
                <w:b/>
                <w:sz w:val="22"/>
                <w:szCs w:val="22"/>
              </w:rPr>
              <w:t>956,9</w:t>
            </w:r>
          </w:p>
          <w:p w:rsidR="00847A1F" w:rsidRPr="00084822" w:rsidRDefault="00847A1F" w:rsidP="00457FEB">
            <w:pPr>
              <w:ind w:right="458"/>
              <w:jc w:val="right"/>
              <w:rPr>
                <w:rFonts w:ascii="Arial" w:hAnsi="Arial" w:cs="Arial"/>
                <w:sz w:val="22"/>
                <w:szCs w:val="22"/>
              </w:rPr>
            </w:pPr>
            <w:r>
              <w:rPr>
                <w:rFonts w:ascii="Arial" w:hAnsi="Arial"/>
                <w:sz w:val="22"/>
                <w:szCs w:val="22"/>
              </w:rPr>
              <w:t>346,8</w:t>
            </w:r>
          </w:p>
          <w:p w:rsidR="00847A1F" w:rsidRPr="00084822" w:rsidRDefault="00847A1F" w:rsidP="00457FEB">
            <w:pPr>
              <w:ind w:right="458"/>
              <w:jc w:val="right"/>
              <w:rPr>
                <w:rFonts w:ascii="Arial" w:hAnsi="Arial" w:cs="Arial"/>
                <w:b/>
                <w:sz w:val="22"/>
                <w:szCs w:val="22"/>
              </w:rPr>
            </w:pPr>
            <w:r>
              <w:rPr>
                <w:rFonts w:ascii="Arial" w:hAnsi="Arial"/>
                <w:sz w:val="22"/>
                <w:szCs w:val="22"/>
              </w:rPr>
              <w:t>610,1</w:t>
            </w:r>
          </w:p>
        </w:tc>
        <w:tc>
          <w:tcPr>
            <w:tcW w:w="1701" w:type="dxa"/>
            <w:vAlign w:val="center"/>
          </w:tcPr>
          <w:p w:rsidR="00847A1F" w:rsidRDefault="00847A1F" w:rsidP="00457FEB">
            <w:pPr>
              <w:ind w:left="-212" w:right="458" w:firstLine="212"/>
              <w:jc w:val="right"/>
              <w:rPr>
                <w:rFonts w:ascii="Arial" w:hAnsi="Arial" w:cs="Arial"/>
                <w:b/>
                <w:bCs/>
                <w:sz w:val="22"/>
                <w:szCs w:val="22"/>
              </w:rPr>
            </w:pPr>
          </w:p>
          <w:p w:rsidR="00847A1F" w:rsidRDefault="00847A1F" w:rsidP="00457FEB">
            <w:pPr>
              <w:ind w:left="-212" w:right="458" w:firstLine="212"/>
              <w:jc w:val="right"/>
              <w:rPr>
                <w:rFonts w:ascii="Arial" w:hAnsi="Arial" w:cs="Arial"/>
                <w:b/>
                <w:bCs/>
                <w:sz w:val="22"/>
                <w:szCs w:val="22"/>
              </w:rPr>
            </w:pPr>
            <w:r>
              <w:rPr>
                <w:rFonts w:ascii="Arial" w:hAnsi="Arial"/>
                <w:b/>
                <w:bCs/>
                <w:sz w:val="22"/>
                <w:szCs w:val="22"/>
              </w:rPr>
              <w:t xml:space="preserve">   -5,5 %</w:t>
            </w:r>
          </w:p>
          <w:p w:rsidR="00847A1F" w:rsidRDefault="00847A1F" w:rsidP="00457FEB">
            <w:pPr>
              <w:ind w:left="-212" w:right="458" w:firstLine="212"/>
              <w:jc w:val="right"/>
              <w:rPr>
                <w:rFonts w:ascii="Arial" w:hAnsi="Arial" w:cs="Arial"/>
                <w:bCs/>
                <w:sz w:val="22"/>
                <w:szCs w:val="22"/>
              </w:rPr>
            </w:pPr>
            <w:r>
              <w:rPr>
                <w:rFonts w:ascii="Arial" w:hAnsi="Arial"/>
                <w:bCs/>
                <w:sz w:val="22"/>
                <w:szCs w:val="22"/>
              </w:rPr>
              <w:t>-14,2 %</w:t>
            </w:r>
          </w:p>
          <w:p w:rsidR="00847A1F" w:rsidRDefault="00847A1F" w:rsidP="00457FEB">
            <w:pPr>
              <w:ind w:left="-212" w:right="458" w:firstLine="212"/>
              <w:jc w:val="right"/>
              <w:rPr>
                <w:rFonts w:ascii="Arial" w:hAnsi="Arial" w:cs="Arial"/>
                <w:b/>
                <w:bCs/>
                <w:sz w:val="22"/>
                <w:szCs w:val="22"/>
              </w:rPr>
            </w:pPr>
            <w:r>
              <w:rPr>
                <w:rFonts w:ascii="Arial" w:hAnsi="Arial"/>
                <w:bCs/>
                <w:sz w:val="22"/>
                <w:szCs w:val="22"/>
              </w:rPr>
              <w:t>+0,3 %</w:t>
            </w:r>
          </w:p>
          <w:p w:rsidR="00847A1F" w:rsidRPr="007C405C" w:rsidRDefault="00847A1F" w:rsidP="00457FEB">
            <w:pPr>
              <w:ind w:right="458"/>
              <w:jc w:val="right"/>
              <w:rPr>
                <w:rFonts w:ascii="Arial" w:hAnsi="Arial" w:cs="Arial"/>
                <w:bCs/>
                <w:sz w:val="22"/>
                <w:szCs w:val="22"/>
              </w:rPr>
            </w:pPr>
          </w:p>
        </w:tc>
      </w:tr>
      <w:tr w:rsidR="00847A1F" w:rsidRPr="0079724D" w:rsidTr="00950CE6">
        <w:trPr>
          <w:trHeight w:hRule="exact" w:val="999"/>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Volumen de negocio</w:t>
            </w:r>
          </w:p>
          <w:p w:rsidR="00847A1F" w:rsidRPr="0079724D" w:rsidRDefault="00847A1F" w:rsidP="00457FEB">
            <w:pPr>
              <w:ind w:right="-1446"/>
              <w:rPr>
                <w:rFonts w:ascii="Arial" w:hAnsi="Arial" w:cs="Arial"/>
                <w:sz w:val="22"/>
                <w:szCs w:val="22"/>
              </w:rPr>
            </w:pPr>
            <w:r>
              <w:rPr>
                <w:rFonts w:ascii="Arial" w:hAnsi="Arial"/>
                <w:sz w:val="22"/>
                <w:szCs w:val="22"/>
              </w:rPr>
              <w:t>Máquinas de bobina y especiales</w:t>
            </w:r>
          </w:p>
          <w:p w:rsidR="00847A1F" w:rsidRPr="0079724D" w:rsidRDefault="00847A1F" w:rsidP="00457FEB">
            <w:pPr>
              <w:ind w:right="-1446"/>
              <w:rPr>
                <w:rFonts w:ascii="Arial" w:hAnsi="Arial" w:cs="Arial"/>
                <w:sz w:val="22"/>
                <w:szCs w:val="22"/>
              </w:rPr>
            </w:pPr>
            <w:r>
              <w:rPr>
                <w:rFonts w:ascii="Arial" w:hAnsi="Arial"/>
                <w:sz w:val="22"/>
                <w:szCs w:val="22"/>
              </w:rPr>
              <w:t>Máquinas offset de pliegos</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1.099,7</w:t>
            </w:r>
          </w:p>
          <w:p w:rsidR="00847A1F" w:rsidRPr="0079724D" w:rsidRDefault="00847A1F" w:rsidP="00457FEB">
            <w:pPr>
              <w:ind w:right="457"/>
              <w:jc w:val="right"/>
              <w:rPr>
                <w:rFonts w:ascii="Arial" w:hAnsi="Arial" w:cs="Arial"/>
                <w:sz w:val="22"/>
                <w:szCs w:val="22"/>
              </w:rPr>
            </w:pPr>
            <w:r>
              <w:rPr>
                <w:rFonts w:ascii="Arial" w:hAnsi="Arial"/>
                <w:sz w:val="22"/>
                <w:szCs w:val="22"/>
              </w:rPr>
              <w:t>527,8</w:t>
            </w:r>
          </w:p>
          <w:p w:rsidR="00847A1F" w:rsidRPr="0079724D" w:rsidRDefault="00847A1F" w:rsidP="00457FEB">
            <w:pPr>
              <w:ind w:right="457"/>
              <w:jc w:val="right"/>
              <w:rPr>
                <w:rFonts w:ascii="Arial" w:hAnsi="Arial" w:cs="Arial"/>
                <w:sz w:val="22"/>
                <w:szCs w:val="22"/>
              </w:rPr>
            </w:pPr>
            <w:r>
              <w:rPr>
                <w:rFonts w:ascii="Arial" w:hAnsi="Arial"/>
                <w:sz w:val="22"/>
                <w:szCs w:val="22"/>
              </w:rPr>
              <w:t>571,9</w:t>
            </w:r>
          </w:p>
        </w:tc>
        <w:tc>
          <w:tcPr>
            <w:tcW w:w="1275" w:type="dxa"/>
            <w:shd w:val="clear" w:color="auto" w:fill="D9D9D9" w:themeFill="background1" w:themeFillShade="D9"/>
            <w:vAlign w:val="center"/>
          </w:tcPr>
          <w:p w:rsidR="00847A1F" w:rsidRPr="00084822" w:rsidRDefault="00847A1F" w:rsidP="00457FEB">
            <w:pPr>
              <w:ind w:right="458"/>
              <w:jc w:val="right"/>
              <w:rPr>
                <w:rFonts w:ascii="Arial" w:hAnsi="Arial" w:cs="Arial"/>
                <w:b/>
                <w:sz w:val="22"/>
                <w:szCs w:val="22"/>
              </w:rPr>
            </w:pPr>
            <w:r>
              <w:rPr>
                <w:rFonts w:ascii="Arial" w:hAnsi="Arial"/>
                <w:b/>
                <w:sz w:val="22"/>
                <w:szCs w:val="22"/>
              </w:rPr>
              <w:t>1.100,1</w:t>
            </w:r>
          </w:p>
          <w:p w:rsidR="00847A1F" w:rsidRDefault="00847A1F" w:rsidP="00457FEB">
            <w:pPr>
              <w:ind w:right="458"/>
              <w:jc w:val="right"/>
              <w:rPr>
                <w:rFonts w:ascii="Arial" w:hAnsi="Arial" w:cs="Arial"/>
                <w:sz w:val="22"/>
                <w:szCs w:val="22"/>
              </w:rPr>
            </w:pPr>
            <w:r>
              <w:rPr>
                <w:rFonts w:ascii="Arial" w:hAnsi="Arial"/>
                <w:sz w:val="22"/>
                <w:szCs w:val="22"/>
              </w:rPr>
              <w:t>509,5</w:t>
            </w:r>
          </w:p>
          <w:p w:rsidR="00847A1F" w:rsidRPr="0079724D" w:rsidRDefault="00847A1F" w:rsidP="00457FEB">
            <w:pPr>
              <w:ind w:right="458"/>
              <w:jc w:val="right"/>
              <w:rPr>
                <w:rFonts w:ascii="Arial" w:hAnsi="Arial" w:cs="Arial"/>
                <w:sz w:val="22"/>
                <w:szCs w:val="22"/>
              </w:rPr>
            </w:pPr>
            <w:r>
              <w:rPr>
                <w:rFonts w:ascii="Arial" w:hAnsi="Arial"/>
                <w:sz w:val="22"/>
                <w:szCs w:val="22"/>
              </w:rPr>
              <w:t>590,6</w:t>
            </w:r>
          </w:p>
        </w:tc>
        <w:tc>
          <w:tcPr>
            <w:tcW w:w="1701" w:type="dxa"/>
            <w:vAlign w:val="center"/>
          </w:tcPr>
          <w:p w:rsidR="00847A1F" w:rsidRDefault="00847A1F" w:rsidP="00457FEB">
            <w:pPr>
              <w:ind w:right="458"/>
              <w:jc w:val="right"/>
              <w:rPr>
                <w:rFonts w:ascii="Arial" w:hAnsi="Arial" w:cs="Arial"/>
                <w:b/>
                <w:bCs/>
                <w:sz w:val="22"/>
                <w:szCs w:val="22"/>
              </w:rPr>
            </w:pPr>
            <w:r>
              <w:rPr>
                <w:rFonts w:ascii="Arial" w:hAnsi="Arial"/>
                <w:b/>
                <w:bCs/>
                <w:sz w:val="22"/>
                <w:szCs w:val="22"/>
              </w:rPr>
              <w:t>0,0 %</w:t>
            </w:r>
          </w:p>
          <w:p w:rsidR="00847A1F" w:rsidRPr="007C405C" w:rsidRDefault="00847A1F" w:rsidP="00457FEB">
            <w:pPr>
              <w:ind w:right="458"/>
              <w:jc w:val="right"/>
              <w:rPr>
                <w:rFonts w:ascii="Arial" w:hAnsi="Arial" w:cs="Arial"/>
                <w:bCs/>
                <w:sz w:val="22"/>
                <w:szCs w:val="22"/>
              </w:rPr>
            </w:pPr>
            <w:r>
              <w:rPr>
                <w:rFonts w:ascii="Arial" w:hAnsi="Arial"/>
                <w:bCs/>
                <w:sz w:val="22"/>
                <w:szCs w:val="22"/>
              </w:rPr>
              <w:t>-3,5 %</w:t>
            </w:r>
          </w:p>
          <w:p w:rsidR="00847A1F" w:rsidRPr="007C405C" w:rsidRDefault="00847A1F" w:rsidP="00457FEB">
            <w:pPr>
              <w:ind w:right="458"/>
              <w:jc w:val="right"/>
              <w:rPr>
                <w:rFonts w:ascii="Arial" w:hAnsi="Arial" w:cs="Arial"/>
                <w:bCs/>
                <w:sz w:val="22"/>
                <w:szCs w:val="22"/>
              </w:rPr>
            </w:pPr>
            <w:r>
              <w:rPr>
                <w:rFonts w:ascii="Arial" w:hAnsi="Arial"/>
                <w:bCs/>
                <w:sz w:val="22"/>
                <w:szCs w:val="22"/>
              </w:rPr>
              <w:t>+3,3 %</w:t>
            </w:r>
          </w:p>
        </w:tc>
      </w:tr>
      <w:tr w:rsidR="00847A1F" w:rsidRPr="0079724D" w:rsidTr="00950CE6">
        <w:trPr>
          <w:trHeight w:hRule="exact" w:val="984"/>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Volumen de pedidos</w:t>
            </w:r>
          </w:p>
          <w:p w:rsidR="00847A1F" w:rsidRPr="0079724D" w:rsidRDefault="00847A1F" w:rsidP="00457FEB">
            <w:pPr>
              <w:ind w:right="-1446"/>
              <w:rPr>
                <w:rFonts w:ascii="Arial" w:hAnsi="Arial" w:cs="Arial"/>
                <w:sz w:val="22"/>
                <w:szCs w:val="22"/>
              </w:rPr>
            </w:pPr>
            <w:r>
              <w:rPr>
                <w:rFonts w:ascii="Arial" w:hAnsi="Arial"/>
                <w:sz w:val="22"/>
                <w:szCs w:val="22"/>
              </w:rPr>
              <w:t>Máquinas de bobina y especiales</w:t>
            </w:r>
          </w:p>
          <w:p w:rsidR="00847A1F" w:rsidRPr="0079724D" w:rsidRDefault="00847A1F" w:rsidP="00457FEB">
            <w:pPr>
              <w:ind w:right="-1446"/>
              <w:rPr>
                <w:rFonts w:ascii="Arial" w:hAnsi="Arial" w:cs="Arial"/>
                <w:sz w:val="22"/>
                <w:szCs w:val="22"/>
              </w:rPr>
            </w:pPr>
            <w:r>
              <w:rPr>
                <w:rFonts w:ascii="Arial" w:hAnsi="Arial"/>
                <w:sz w:val="22"/>
                <w:szCs w:val="22"/>
              </w:rPr>
              <w:t>Máquinas offset de pliegos</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560,5</w:t>
            </w:r>
          </w:p>
          <w:p w:rsidR="00847A1F" w:rsidRPr="0079724D" w:rsidRDefault="00847A1F" w:rsidP="00457FEB">
            <w:pPr>
              <w:ind w:right="457"/>
              <w:jc w:val="right"/>
              <w:rPr>
                <w:rFonts w:ascii="Arial" w:hAnsi="Arial" w:cs="Arial"/>
                <w:sz w:val="22"/>
                <w:szCs w:val="22"/>
              </w:rPr>
            </w:pPr>
            <w:r>
              <w:rPr>
                <w:rFonts w:ascii="Arial" w:hAnsi="Arial"/>
                <w:sz w:val="22"/>
                <w:szCs w:val="22"/>
              </w:rPr>
              <w:t>351,2</w:t>
            </w:r>
          </w:p>
          <w:p w:rsidR="00847A1F" w:rsidRPr="0079724D" w:rsidRDefault="00847A1F" w:rsidP="00457FEB">
            <w:pPr>
              <w:ind w:right="457"/>
              <w:jc w:val="right"/>
              <w:rPr>
                <w:rFonts w:ascii="Arial" w:hAnsi="Arial" w:cs="Arial"/>
                <w:sz w:val="22"/>
                <w:szCs w:val="22"/>
              </w:rPr>
            </w:pPr>
            <w:r>
              <w:rPr>
                <w:rFonts w:ascii="Arial" w:hAnsi="Arial"/>
                <w:sz w:val="22"/>
                <w:szCs w:val="22"/>
              </w:rPr>
              <w:t>209,3</w:t>
            </w:r>
          </w:p>
        </w:tc>
        <w:tc>
          <w:tcPr>
            <w:tcW w:w="1275" w:type="dxa"/>
            <w:shd w:val="clear" w:color="auto" w:fill="D9D9D9" w:themeFill="background1" w:themeFillShade="D9"/>
            <w:vAlign w:val="center"/>
          </w:tcPr>
          <w:p w:rsidR="00847A1F" w:rsidRPr="001526FA" w:rsidRDefault="00847A1F" w:rsidP="00457FEB">
            <w:pPr>
              <w:ind w:right="458"/>
              <w:jc w:val="right"/>
              <w:rPr>
                <w:rFonts w:ascii="Arial" w:hAnsi="Arial" w:cs="Arial"/>
                <w:b/>
                <w:sz w:val="22"/>
                <w:szCs w:val="22"/>
              </w:rPr>
            </w:pPr>
            <w:r>
              <w:rPr>
                <w:rFonts w:ascii="Arial" w:hAnsi="Arial"/>
                <w:b/>
                <w:sz w:val="22"/>
                <w:szCs w:val="22"/>
              </w:rPr>
              <w:t>417,3</w:t>
            </w:r>
          </w:p>
          <w:p w:rsidR="00847A1F" w:rsidRDefault="00847A1F" w:rsidP="00457FEB">
            <w:pPr>
              <w:ind w:right="458"/>
              <w:jc w:val="right"/>
              <w:rPr>
                <w:rFonts w:ascii="Arial" w:hAnsi="Arial" w:cs="Arial"/>
                <w:sz w:val="22"/>
                <w:szCs w:val="22"/>
              </w:rPr>
            </w:pPr>
            <w:r>
              <w:rPr>
                <w:rFonts w:ascii="Arial" w:hAnsi="Arial"/>
                <w:sz w:val="22"/>
                <w:szCs w:val="22"/>
              </w:rPr>
              <w:t>188,5</w:t>
            </w:r>
          </w:p>
          <w:p w:rsidR="00847A1F" w:rsidRPr="0079724D" w:rsidRDefault="00847A1F" w:rsidP="00457FEB">
            <w:pPr>
              <w:ind w:right="458"/>
              <w:jc w:val="right"/>
              <w:rPr>
                <w:rFonts w:ascii="Arial" w:hAnsi="Arial" w:cs="Arial"/>
                <w:sz w:val="22"/>
                <w:szCs w:val="22"/>
              </w:rPr>
            </w:pPr>
            <w:r>
              <w:rPr>
                <w:rFonts w:ascii="Arial" w:hAnsi="Arial"/>
                <w:sz w:val="22"/>
                <w:szCs w:val="22"/>
              </w:rPr>
              <w:t>228,8</w:t>
            </w:r>
          </w:p>
        </w:tc>
        <w:tc>
          <w:tcPr>
            <w:tcW w:w="1701" w:type="dxa"/>
            <w:vAlign w:val="center"/>
          </w:tcPr>
          <w:p w:rsidR="00847A1F" w:rsidRDefault="00847A1F" w:rsidP="00457FEB">
            <w:pPr>
              <w:ind w:right="458"/>
              <w:jc w:val="right"/>
              <w:rPr>
                <w:rFonts w:ascii="Arial" w:hAnsi="Arial" w:cs="Arial"/>
                <w:b/>
                <w:bCs/>
                <w:sz w:val="22"/>
                <w:szCs w:val="22"/>
              </w:rPr>
            </w:pPr>
            <w:r>
              <w:rPr>
                <w:rFonts w:ascii="Arial" w:hAnsi="Arial"/>
                <w:b/>
                <w:bCs/>
                <w:sz w:val="22"/>
                <w:szCs w:val="22"/>
              </w:rPr>
              <w:t>-25,5 %</w:t>
            </w:r>
          </w:p>
          <w:p w:rsidR="00847A1F" w:rsidRPr="007C405C" w:rsidRDefault="00847A1F" w:rsidP="00457FEB">
            <w:pPr>
              <w:ind w:right="458"/>
              <w:jc w:val="right"/>
              <w:rPr>
                <w:rFonts w:ascii="Arial" w:hAnsi="Arial" w:cs="Arial"/>
                <w:bCs/>
                <w:sz w:val="22"/>
                <w:szCs w:val="22"/>
              </w:rPr>
            </w:pPr>
            <w:r>
              <w:rPr>
                <w:rFonts w:ascii="Arial" w:hAnsi="Arial"/>
                <w:bCs/>
                <w:sz w:val="22"/>
                <w:szCs w:val="22"/>
              </w:rPr>
              <w:t>-46,3 %</w:t>
            </w:r>
          </w:p>
          <w:p w:rsidR="00847A1F" w:rsidRPr="007C405C" w:rsidRDefault="00847A1F" w:rsidP="00457FEB">
            <w:pPr>
              <w:ind w:right="458"/>
              <w:jc w:val="right"/>
              <w:rPr>
                <w:rFonts w:ascii="Arial" w:hAnsi="Arial" w:cs="Arial"/>
                <w:bCs/>
                <w:sz w:val="22"/>
                <w:szCs w:val="22"/>
              </w:rPr>
            </w:pPr>
            <w:r>
              <w:rPr>
                <w:rFonts w:ascii="Arial" w:hAnsi="Arial"/>
                <w:bCs/>
                <w:sz w:val="22"/>
                <w:szCs w:val="22"/>
              </w:rPr>
              <w:t>+9,3 %</w:t>
            </w:r>
          </w:p>
        </w:tc>
      </w:tr>
      <w:tr w:rsidR="00847A1F" w:rsidRPr="0079724D" w:rsidTr="00950CE6">
        <w:trPr>
          <w:trHeight w:hRule="exact" w:val="726"/>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Resultado de explotación antes de</w:t>
            </w:r>
          </w:p>
          <w:p w:rsidR="00847A1F" w:rsidRPr="0079724D" w:rsidRDefault="00847A1F" w:rsidP="00457FEB">
            <w:pPr>
              <w:ind w:right="-1446"/>
              <w:rPr>
                <w:rFonts w:ascii="Arial" w:hAnsi="Arial" w:cs="Arial"/>
                <w:b/>
                <w:bCs/>
                <w:sz w:val="22"/>
                <w:szCs w:val="22"/>
              </w:rPr>
            </w:pPr>
            <w:r>
              <w:rPr>
                <w:rFonts w:ascii="Arial" w:hAnsi="Arial"/>
                <w:b/>
                <w:bCs/>
                <w:sz w:val="22"/>
                <w:szCs w:val="22"/>
              </w:rPr>
              <w:t>factores especiales</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24,5</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24,1</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579"/>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Resultado de explotación tras</w:t>
            </w:r>
          </w:p>
          <w:p w:rsidR="00847A1F" w:rsidRPr="0079724D" w:rsidRDefault="00847A1F" w:rsidP="00457FEB">
            <w:pPr>
              <w:ind w:right="-1446"/>
              <w:rPr>
                <w:rFonts w:ascii="Arial" w:hAnsi="Arial" w:cs="Arial"/>
                <w:b/>
                <w:bCs/>
                <w:sz w:val="22"/>
                <w:szCs w:val="22"/>
              </w:rPr>
            </w:pPr>
            <w:r>
              <w:rPr>
                <w:rFonts w:ascii="Arial" w:hAnsi="Arial"/>
                <w:b/>
                <w:bCs/>
                <w:sz w:val="22"/>
                <w:szCs w:val="22"/>
              </w:rPr>
              <w:t>factores especiales</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-130,7</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14,1</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579"/>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Resultado antes de</w:t>
            </w:r>
          </w:p>
          <w:p w:rsidR="00847A1F" w:rsidRPr="0079724D" w:rsidRDefault="00847A1F" w:rsidP="00457FEB">
            <w:pPr>
              <w:ind w:right="-1446"/>
              <w:rPr>
                <w:rFonts w:ascii="Arial" w:hAnsi="Arial" w:cs="Arial"/>
                <w:b/>
                <w:bCs/>
                <w:sz w:val="22"/>
                <w:szCs w:val="22"/>
              </w:rPr>
            </w:pPr>
            <w:r>
              <w:rPr>
                <w:rFonts w:ascii="Arial" w:hAnsi="Arial"/>
                <w:b/>
                <w:bCs/>
                <w:sz w:val="22"/>
                <w:szCs w:val="22"/>
              </w:rPr>
              <w:t>impuestos (EBT)</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-138,1</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5,5</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579"/>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Déficit/</w:t>
            </w:r>
            <w:r>
              <w:br/>
            </w:r>
            <w:r>
              <w:rPr>
                <w:rFonts w:ascii="Arial" w:hAnsi="Arial"/>
                <w:b/>
                <w:bCs/>
                <w:sz w:val="22"/>
                <w:szCs w:val="22"/>
              </w:rPr>
              <w:t>Superávit anual</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-153,7</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0,3</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479"/>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 xml:space="preserve">Resultado por acción en € </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 xml:space="preserve">  -9,31</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0,03</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699"/>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Flujo de caja de la</w:t>
            </w:r>
          </w:p>
          <w:p w:rsidR="00847A1F" w:rsidRPr="0079724D" w:rsidRDefault="00847A1F" w:rsidP="00457FEB">
            <w:pPr>
              <w:ind w:right="-1446"/>
              <w:rPr>
                <w:rFonts w:ascii="Arial" w:hAnsi="Arial" w:cs="Arial"/>
                <w:b/>
                <w:bCs/>
                <w:sz w:val="22"/>
                <w:szCs w:val="22"/>
              </w:rPr>
            </w:pPr>
            <w:r>
              <w:rPr>
                <w:rFonts w:ascii="Arial" w:hAnsi="Arial"/>
                <w:b/>
                <w:bCs/>
                <w:sz w:val="22"/>
                <w:szCs w:val="22"/>
              </w:rPr>
              <w:t>actividad empresarial</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34,1</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43,2</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484"/>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Suma del balance</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1.098,0</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1.014,7</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480"/>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Capital propio</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277,9</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227,2</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452"/>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Dividendos en €</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w:t>
            </w:r>
          </w:p>
        </w:tc>
        <w:tc>
          <w:tcPr>
            <w:tcW w:w="1275" w:type="dxa"/>
            <w:shd w:val="clear" w:color="auto" w:fill="D9D9D9" w:themeFill="background1" w:themeFillShade="D9"/>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r w:rsidR="00847A1F" w:rsidRPr="0079724D" w:rsidTr="00950CE6">
        <w:trPr>
          <w:trHeight w:hRule="exact" w:val="471"/>
        </w:trPr>
        <w:tc>
          <w:tcPr>
            <w:tcW w:w="3544" w:type="dxa"/>
            <w:vAlign w:val="center"/>
          </w:tcPr>
          <w:p w:rsidR="00847A1F" w:rsidRPr="0079724D" w:rsidRDefault="00847A1F" w:rsidP="00457FEB">
            <w:pPr>
              <w:ind w:right="-1446"/>
              <w:rPr>
                <w:rFonts w:ascii="Arial" w:hAnsi="Arial" w:cs="Arial"/>
                <w:b/>
                <w:bCs/>
                <w:sz w:val="22"/>
                <w:szCs w:val="22"/>
              </w:rPr>
            </w:pPr>
            <w:r>
              <w:rPr>
                <w:rFonts w:ascii="Arial" w:hAnsi="Arial"/>
                <w:b/>
                <w:bCs/>
                <w:sz w:val="22"/>
                <w:szCs w:val="22"/>
              </w:rPr>
              <w:t>Plantilla 31.12.</w:t>
            </w:r>
          </w:p>
        </w:tc>
        <w:tc>
          <w:tcPr>
            <w:tcW w:w="1418" w:type="dxa"/>
            <w:vAlign w:val="center"/>
          </w:tcPr>
          <w:p w:rsidR="00847A1F" w:rsidRPr="0079724D" w:rsidRDefault="00847A1F" w:rsidP="00457FEB">
            <w:pPr>
              <w:ind w:right="457"/>
              <w:jc w:val="right"/>
              <w:rPr>
                <w:rFonts w:ascii="Arial" w:hAnsi="Arial" w:cs="Arial"/>
                <w:b/>
                <w:bCs/>
                <w:sz w:val="22"/>
                <w:szCs w:val="22"/>
              </w:rPr>
            </w:pPr>
            <w:r>
              <w:rPr>
                <w:rFonts w:ascii="Arial" w:hAnsi="Arial"/>
                <w:b/>
                <w:bCs/>
                <w:sz w:val="22"/>
                <w:szCs w:val="22"/>
              </w:rPr>
              <w:t>6.409</w:t>
            </w:r>
          </w:p>
        </w:tc>
        <w:tc>
          <w:tcPr>
            <w:tcW w:w="1275" w:type="dxa"/>
            <w:shd w:val="clear" w:color="auto" w:fill="D9D9D9" w:themeFill="background1" w:themeFillShade="D9"/>
            <w:vAlign w:val="center"/>
          </w:tcPr>
          <w:p w:rsidR="00847A1F" w:rsidRPr="0079724D" w:rsidRDefault="00847A1F" w:rsidP="00220181">
            <w:pPr>
              <w:ind w:right="458"/>
              <w:jc w:val="right"/>
              <w:rPr>
                <w:rFonts w:ascii="Arial" w:hAnsi="Arial" w:cs="Arial"/>
                <w:b/>
                <w:bCs/>
                <w:sz w:val="22"/>
                <w:szCs w:val="22"/>
              </w:rPr>
            </w:pPr>
            <w:r>
              <w:rPr>
                <w:rFonts w:ascii="Arial" w:hAnsi="Arial"/>
                <w:b/>
                <w:bCs/>
                <w:sz w:val="22"/>
                <w:szCs w:val="22"/>
              </w:rPr>
              <w:t>5.731</w:t>
            </w:r>
          </w:p>
        </w:tc>
        <w:tc>
          <w:tcPr>
            <w:tcW w:w="1701" w:type="dxa"/>
            <w:vAlign w:val="center"/>
          </w:tcPr>
          <w:p w:rsidR="00847A1F" w:rsidRPr="0079724D" w:rsidRDefault="00847A1F" w:rsidP="00457FEB">
            <w:pPr>
              <w:ind w:right="458"/>
              <w:jc w:val="right"/>
              <w:rPr>
                <w:rFonts w:ascii="Arial" w:hAnsi="Arial" w:cs="Arial"/>
                <w:b/>
                <w:bCs/>
                <w:sz w:val="22"/>
                <w:szCs w:val="22"/>
              </w:rPr>
            </w:pPr>
            <w:r>
              <w:rPr>
                <w:rFonts w:ascii="Arial" w:hAnsi="Arial"/>
                <w:b/>
                <w:bCs/>
                <w:sz w:val="22"/>
                <w:szCs w:val="22"/>
              </w:rPr>
              <w:t>-</w:t>
            </w:r>
          </w:p>
        </w:tc>
      </w:tr>
    </w:tbl>
    <w:p w:rsidR="00847A1F" w:rsidRPr="0079724D" w:rsidRDefault="00847A1F" w:rsidP="00847A1F">
      <w:pPr>
        <w:pStyle w:val="Textkrper2"/>
        <w:tabs>
          <w:tab w:val="left" w:pos="6804"/>
        </w:tabs>
        <w:ind w:right="1417"/>
        <w:rPr>
          <w:b/>
          <w:bCs/>
          <w:i w:val="0"/>
          <w:iCs w:val="0"/>
          <w:snapToGrid w:val="0"/>
          <w:sz w:val="18"/>
          <w:szCs w:val="18"/>
        </w:rPr>
      </w:pPr>
      <w:r>
        <w:br/>
      </w:r>
    </w:p>
    <w:p w:rsidR="000F6E62" w:rsidRDefault="000F6E62" w:rsidP="00A775BA">
      <w:pPr>
        <w:adjustRightInd w:val="0"/>
        <w:ind w:right="1417"/>
        <w:rPr>
          <w:rFonts w:ascii="Arial" w:hAnsi="Arial" w:cs="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950CE6" w:rsidRDefault="00950CE6"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DC543F" w:rsidRDefault="00DC543F" w:rsidP="00A775BA">
      <w:pPr>
        <w:adjustRightInd w:val="0"/>
        <w:ind w:right="1417"/>
        <w:rPr>
          <w:rFonts w:ascii="Arial" w:hAnsi="Arial"/>
          <w:u w:val="single"/>
        </w:rPr>
      </w:pPr>
    </w:p>
    <w:p w:rsidR="00A775BA" w:rsidRPr="00847A1F" w:rsidRDefault="00A775BA" w:rsidP="00A775BA">
      <w:pPr>
        <w:adjustRightInd w:val="0"/>
        <w:ind w:right="1417"/>
        <w:rPr>
          <w:rFonts w:ascii="Arial" w:hAnsi="Arial" w:cs="Arial"/>
          <w:u w:val="single"/>
        </w:rPr>
      </w:pPr>
      <w:r>
        <w:rPr>
          <w:rFonts w:ascii="Arial" w:hAnsi="Arial"/>
          <w:u w:val="single"/>
        </w:rPr>
        <w:t>Foto 1:</w:t>
      </w:r>
    </w:p>
    <w:p w:rsidR="00A775BA" w:rsidRPr="00847A1F" w:rsidRDefault="003D3B93" w:rsidP="00A775BA">
      <w:pPr>
        <w:adjustRightInd w:val="0"/>
        <w:ind w:right="1417"/>
        <w:rPr>
          <w:rFonts w:ascii="Arial" w:hAnsi="Arial" w:cs="Arial"/>
        </w:rPr>
      </w:pPr>
      <w:r>
        <w:rPr>
          <w:rFonts w:ascii="Arial" w:hAnsi="Arial"/>
        </w:rPr>
        <w:t>En la impresión digital, KBA quiere orientarse hacia mercados donde exista demanda de una competencia especial en el procesamiento de materiales exigentes y grandes anchos de los soportes de impresión</w:t>
      </w:r>
    </w:p>
    <w:p w:rsidR="0001752D" w:rsidRPr="00847A1F" w:rsidRDefault="0001752D" w:rsidP="00A775BA">
      <w:pPr>
        <w:adjustRightInd w:val="0"/>
        <w:ind w:right="1417"/>
        <w:rPr>
          <w:rFonts w:ascii="Arial" w:hAnsi="Arial" w:cs="Arial"/>
          <w:sz w:val="22"/>
          <w:szCs w:val="22"/>
          <w:u w:val="single"/>
        </w:rPr>
      </w:pPr>
    </w:p>
    <w:p w:rsidR="00A775BA" w:rsidRPr="00847A1F" w:rsidRDefault="00A775BA" w:rsidP="00A775BA">
      <w:pPr>
        <w:pStyle w:val="Textkrper2"/>
        <w:tabs>
          <w:tab w:val="left" w:pos="6804"/>
        </w:tabs>
        <w:ind w:right="1417"/>
        <w:rPr>
          <w:i w:val="0"/>
          <w:sz w:val="20"/>
          <w:szCs w:val="20"/>
          <w:u w:val="single"/>
        </w:rPr>
      </w:pPr>
      <w:r>
        <w:rPr>
          <w:i w:val="0"/>
          <w:iCs w:val="0"/>
          <w:snapToGrid w:val="0"/>
          <w:sz w:val="20"/>
          <w:szCs w:val="20"/>
          <w:u w:val="single"/>
        </w:rPr>
        <w:t>Foto 2:</w:t>
      </w:r>
    </w:p>
    <w:p w:rsidR="00C150AA" w:rsidRPr="00847A1F" w:rsidRDefault="0001752D">
      <w:pPr>
        <w:pStyle w:val="Textkrper2"/>
        <w:tabs>
          <w:tab w:val="left" w:pos="6804"/>
        </w:tabs>
        <w:ind w:right="1417"/>
        <w:rPr>
          <w:i w:val="0"/>
          <w:sz w:val="20"/>
          <w:szCs w:val="20"/>
        </w:rPr>
      </w:pPr>
      <w:r>
        <w:rPr>
          <w:i w:val="0"/>
          <w:sz w:val="20"/>
          <w:szCs w:val="20"/>
        </w:rPr>
        <w:t>Contrariamente a la tendencia del sector, en 2014 KBA pudo registrar un leve incremento en la entrada de pedidos y el volumen de negocio en el segmento de máquinas de pliegos</w:t>
      </w:r>
    </w:p>
    <w:p w:rsidR="00B65994" w:rsidRPr="00847A1F" w:rsidRDefault="00B65994">
      <w:pPr>
        <w:pStyle w:val="Textkrper2"/>
        <w:tabs>
          <w:tab w:val="left" w:pos="6804"/>
        </w:tabs>
        <w:ind w:right="1417"/>
        <w:rPr>
          <w:i w:val="0"/>
          <w:sz w:val="20"/>
          <w:szCs w:val="20"/>
        </w:rPr>
      </w:pPr>
    </w:p>
    <w:p w:rsidR="00B65994" w:rsidRPr="00847A1F" w:rsidRDefault="00847A1F">
      <w:pPr>
        <w:pStyle w:val="Textkrper2"/>
        <w:tabs>
          <w:tab w:val="left" w:pos="6804"/>
        </w:tabs>
        <w:ind w:right="1417"/>
        <w:rPr>
          <w:i w:val="0"/>
          <w:sz w:val="20"/>
          <w:szCs w:val="20"/>
          <w:u w:val="single"/>
        </w:rPr>
      </w:pPr>
      <w:r>
        <w:rPr>
          <w:i w:val="0"/>
          <w:sz w:val="20"/>
          <w:szCs w:val="20"/>
          <w:u w:val="single"/>
        </w:rPr>
        <w:t>Foto 3:</w:t>
      </w:r>
    </w:p>
    <w:p w:rsidR="00B65994" w:rsidRPr="0001752D" w:rsidRDefault="00B65994">
      <w:pPr>
        <w:pStyle w:val="Textkrper2"/>
        <w:tabs>
          <w:tab w:val="left" w:pos="6804"/>
        </w:tabs>
        <w:ind w:right="1417"/>
        <w:rPr>
          <w:i w:val="0"/>
          <w:sz w:val="20"/>
          <w:szCs w:val="20"/>
        </w:rPr>
      </w:pPr>
      <w:r>
        <w:rPr>
          <w:i w:val="0"/>
          <w:sz w:val="20"/>
          <w:szCs w:val="20"/>
        </w:rPr>
        <w:t xml:space="preserve">La nueva unidad de negocio KBA-Industrial Solutions también ofrece a otras empresas sus modernas instalaciones para fundición y el mecanizado de precisión de piezas grandes complejas </w:t>
      </w:r>
    </w:p>
    <w:sectPr w:rsidR="00B65994" w:rsidRPr="0001752D" w:rsidSect="00535E69">
      <w:headerReference w:type="default" r:id="rId10"/>
      <w:headerReference w:type="first" r:id="rId11"/>
      <w:type w:val="continuous"/>
      <w:pgSz w:w="12240" w:h="15840" w:code="1"/>
      <w:pgMar w:top="1985" w:right="1418" w:bottom="1134" w:left="1134" w:header="851" w:footer="284"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8E" w:rsidRDefault="00CF608E">
      <w:r>
        <w:separator/>
      </w:r>
    </w:p>
  </w:endnote>
  <w:endnote w:type="continuationSeparator" w:id="0">
    <w:p w:rsidR="00CF608E" w:rsidRDefault="00CF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O Futura BookOblique">
    <w:altName w:val="Courier New"/>
    <w:panose1 w:val="00000000000000000000"/>
    <w:charset w:val="4D"/>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8E" w:rsidRDefault="00CF608E">
      <w:r>
        <w:separator/>
      </w:r>
    </w:p>
  </w:footnote>
  <w:footnote w:type="continuationSeparator" w:id="0">
    <w:p w:rsidR="00CF608E" w:rsidRDefault="00CF6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6C" w:rsidRDefault="00A20C6C">
    <w:pPr>
      <w:pStyle w:val="Kopfzeile"/>
      <w:jc w:val="center"/>
      <w:rPr>
        <w:rFonts w:ascii="Arial" w:hAnsi="Arial" w:cs="Arial"/>
      </w:rPr>
    </w:pPr>
    <w:r>
      <w:rPr>
        <w:rFonts w:ascii="Arial" w:hAnsi="Arial"/>
      </w:rPr>
      <w:t xml:space="preserve">–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E41FF1">
      <w:rPr>
        <w:rStyle w:val="Seitenzahl"/>
        <w:rFonts w:ascii="Arial" w:hAnsi="Arial" w:cs="Arial"/>
        <w:noProof/>
      </w:rPr>
      <w:t>2</w:t>
    </w:r>
    <w:r>
      <w:rPr>
        <w:rStyle w:val="Seitenzahl"/>
        <w:rFonts w:ascii="Arial" w:hAnsi="Arial" w:cs="Arial"/>
      </w:rPr>
      <w:fldChar w:fldCharType="end"/>
    </w:r>
    <w:r>
      <w:rPr>
        <w:rStyle w:val="Seitenzahl"/>
        <w:rFonts w:ascii="Arial" w:hAnsi="Arial"/>
      </w:rPr>
      <w:t xml:space="preserve"> </w:t>
    </w:r>
    <w:r>
      <w:rPr>
        <w:rFonts w:ascii="Arial" w:hAnsi="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6C" w:rsidRDefault="00143C0A">
    <w:pPr>
      <w:pStyle w:val="Kopfzeile"/>
      <w:rPr>
        <w:rFonts w:ascii="Arial" w:hAnsi="Arial" w:cs="Arial"/>
        <w:b/>
        <w:bCs/>
      </w:rPr>
    </w:pPr>
    <w:r>
      <w:rPr>
        <w:noProof/>
        <w:lang w:val="en-US" w:eastAsia="en-US" w:bidi="ar-SA"/>
      </w:rPr>
      <w:drawing>
        <wp:anchor distT="0" distB="0" distL="114300" distR="114300" simplePos="0" relativeHeight="251659264" behindDoc="0" locked="0" layoutInCell="0" allowOverlap="1">
          <wp:simplePos x="0" y="0"/>
          <wp:positionH relativeFrom="column">
            <wp:posOffset>4322445</wp:posOffset>
          </wp:positionH>
          <wp:positionV relativeFrom="paragraph">
            <wp:posOffset>-187960</wp:posOffset>
          </wp:positionV>
          <wp:extent cx="1524000" cy="40767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rPr>
      <w:t>Koenig &amp; Bauer AG (KBA)</w:t>
    </w:r>
  </w:p>
  <w:p w:rsidR="00A20C6C" w:rsidRDefault="00A20C6C">
    <w:pPr>
      <w:pStyle w:val="Kopfzeile"/>
      <w:rPr>
        <w:rFonts w:ascii="Arial" w:hAnsi="Arial" w:cs="Arial"/>
      </w:rPr>
    </w:pPr>
    <w:r>
      <w:rPr>
        <w:rFonts w:ascii="Arial" w:hAnsi="Arial"/>
      </w:rPr>
      <w:t xml:space="preserve">Máquinas de impresión / Printing </w:t>
    </w:r>
    <w:proofErr w:type="spellStart"/>
    <w:r>
      <w:rPr>
        <w:rFonts w:ascii="Arial" w:hAnsi="Arial"/>
      </w:rPr>
      <w:t>Presses</w:t>
    </w:r>
    <w:proofErr w:type="spellEnd"/>
  </w:p>
  <w:p w:rsidR="00A20C6C" w:rsidRPr="00C51BC6" w:rsidRDefault="00A20C6C">
    <w:pPr>
      <w:pStyle w:val="Kopfzeile"/>
      <w:rPr>
        <w:rFonts w:ascii="Arial" w:hAnsi="Arial" w:cs="Arial"/>
        <w:sz w:val="22"/>
        <w:szCs w:val="22"/>
      </w:rPr>
    </w:pPr>
  </w:p>
  <w:p w:rsidR="00A20C6C" w:rsidRDefault="00A20C6C">
    <w:pPr>
      <w:pStyle w:val="Kopfzeile"/>
      <w:rPr>
        <w:rFonts w:ascii="Arial" w:hAnsi="Arial" w:cs="Arial"/>
      </w:rPr>
    </w:pPr>
    <w:r>
      <w:rPr>
        <w:rFonts w:ascii="Arial" w:hAnsi="Arial"/>
        <w:b/>
        <w:bCs/>
      </w:rPr>
      <w:t xml:space="preserve">Nota de prensa / </w:t>
    </w:r>
    <w:proofErr w:type="spellStart"/>
    <w:r>
      <w:rPr>
        <w:rFonts w:ascii="Arial" w:hAnsi="Arial"/>
        <w:b/>
        <w:bCs/>
      </w:rPr>
      <w:t>Press</w:t>
    </w:r>
    <w:proofErr w:type="spellEnd"/>
    <w:r>
      <w:rPr>
        <w:rFonts w:ascii="Arial" w:hAnsi="Arial"/>
        <w:b/>
        <w:bCs/>
      </w:rPr>
      <w:t xml:space="preserve"> </w:t>
    </w:r>
    <w:proofErr w:type="spellStart"/>
    <w:r>
      <w:rPr>
        <w:rFonts w:ascii="Arial" w:hAnsi="Arial"/>
        <w:b/>
        <w:bCs/>
      </w:rPr>
      <w:t>Release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ACC"/>
    <w:multiLevelType w:val="multilevel"/>
    <w:tmpl w:val="1AEC116C"/>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A8B334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D5E5D34"/>
    <w:multiLevelType w:val="singleLevel"/>
    <w:tmpl w:val="AFC0EEE8"/>
    <w:lvl w:ilvl="0">
      <w:start w:val="30"/>
      <w:numFmt w:val="bullet"/>
      <w:lvlText w:val="–"/>
      <w:lvlJc w:val="left"/>
      <w:pPr>
        <w:tabs>
          <w:tab w:val="num" w:pos="6240"/>
        </w:tabs>
        <w:ind w:left="6240" w:hanging="4815"/>
      </w:pPr>
      <w:rPr>
        <w:rFonts w:ascii="Times New Roman" w:hAnsi="Times New Roman" w:hint="default"/>
      </w:rPr>
    </w:lvl>
  </w:abstractNum>
  <w:abstractNum w:abstractNumId="3">
    <w:nsid w:val="4FDB5153"/>
    <w:multiLevelType w:val="hybridMultilevel"/>
    <w:tmpl w:val="35D0FD7E"/>
    <w:lvl w:ilvl="0" w:tplc="8D0C6E52">
      <w:start w:val="1"/>
      <w:numFmt w:val="bullet"/>
      <w:lvlText w:val="•"/>
      <w:lvlJc w:val="left"/>
      <w:pPr>
        <w:tabs>
          <w:tab w:val="num" w:pos="720"/>
        </w:tabs>
        <w:ind w:left="720" w:hanging="360"/>
      </w:pPr>
      <w:rPr>
        <w:rFonts w:ascii="Arial" w:hAnsi="Arial" w:hint="default"/>
      </w:rPr>
    </w:lvl>
    <w:lvl w:ilvl="1" w:tplc="E222C460" w:tentative="1">
      <w:start w:val="1"/>
      <w:numFmt w:val="bullet"/>
      <w:lvlText w:val="•"/>
      <w:lvlJc w:val="left"/>
      <w:pPr>
        <w:tabs>
          <w:tab w:val="num" w:pos="1440"/>
        </w:tabs>
        <w:ind w:left="1440" w:hanging="360"/>
      </w:pPr>
      <w:rPr>
        <w:rFonts w:ascii="Arial" w:hAnsi="Arial" w:hint="default"/>
      </w:rPr>
    </w:lvl>
    <w:lvl w:ilvl="2" w:tplc="539A993A" w:tentative="1">
      <w:start w:val="1"/>
      <w:numFmt w:val="bullet"/>
      <w:lvlText w:val="•"/>
      <w:lvlJc w:val="left"/>
      <w:pPr>
        <w:tabs>
          <w:tab w:val="num" w:pos="2160"/>
        </w:tabs>
        <w:ind w:left="2160" w:hanging="360"/>
      </w:pPr>
      <w:rPr>
        <w:rFonts w:ascii="Arial" w:hAnsi="Arial" w:hint="default"/>
      </w:rPr>
    </w:lvl>
    <w:lvl w:ilvl="3" w:tplc="BDF62CC6" w:tentative="1">
      <w:start w:val="1"/>
      <w:numFmt w:val="bullet"/>
      <w:lvlText w:val="•"/>
      <w:lvlJc w:val="left"/>
      <w:pPr>
        <w:tabs>
          <w:tab w:val="num" w:pos="2880"/>
        </w:tabs>
        <w:ind w:left="2880" w:hanging="360"/>
      </w:pPr>
      <w:rPr>
        <w:rFonts w:ascii="Arial" w:hAnsi="Arial" w:hint="default"/>
      </w:rPr>
    </w:lvl>
    <w:lvl w:ilvl="4" w:tplc="16066A7E" w:tentative="1">
      <w:start w:val="1"/>
      <w:numFmt w:val="bullet"/>
      <w:lvlText w:val="•"/>
      <w:lvlJc w:val="left"/>
      <w:pPr>
        <w:tabs>
          <w:tab w:val="num" w:pos="3600"/>
        </w:tabs>
        <w:ind w:left="3600" w:hanging="360"/>
      </w:pPr>
      <w:rPr>
        <w:rFonts w:ascii="Arial" w:hAnsi="Arial" w:hint="default"/>
      </w:rPr>
    </w:lvl>
    <w:lvl w:ilvl="5" w:tplc="C7E664B6" w:tentative="1">
      <w:start w:val="1"/>
      <w:numFmt w:val="bullet"/>
      <w:lvlText w:val="•"/>
      <w:lvlJc w:val="left"/>
      <w:pPr>
        <w:tabs>
          <w:tab w:val="num" w:pos="4320"/>
        </w:tabs>
        <w:ind w:left="4320" w:hanging="360"/>
      </w:pPr>
      <w:rPr>
        <w:rFonts w:ascii="Arial" w:hAnsi="Arial" w:hint="default"/>
      </w:rPr>
    </w:lvl>
    <w:lvl w:ilvl="6" w:tplc="241E0AEC" w:tentative="1">
      <w:start w:val="1"/>
      <w:numFmt w:val="bullet"/>
      <w:lvlText w:val="•"/>
      <w:lvlJc w:val="left"/>
      <w:pPr>
        <w:tabs>
          <w:tab w:val="num" w:pos="5040"/>
        </w:tabs>
        <w:ind w:left="5040" w:hanging="360"/>
      </w:pPr>
      <w:rPr>
        <w:rFonts w:ascii="Arial" w:hAnsi="Arial" w:hint="default"/>
      </w:rPr>
    </w:lvl>
    <w:lvl w:ilvl="7" w:tplc="4296D124" w:tentative="1">
      <w:start w:val="1"/>
      <w:numFmt w:val="bullet"/>
      <w:lvlText w:val="•"/>
      <w:lvlJc w:val="left"/>
      <w:pPr>
        <w:tabs>
          <w:tab w:val="num" w:pos="5760"/>
        </w:tabs>
        <w:ind w:left="5760" w:hanging="360"/>
      </w:pPr>
      <w:rPr>
        <w:rFonts w:ascii="Arial" w:hAnsi="Arial" w:hint="default"/>
      </w:rPr>
    </w:lvl>
    <w:lvl w:ilvl="8" w:tplc="E208EED6" w:tentative="1">
      <w:start w:val="1"/>
      <w:numFmt w:val="bullet"/>
      <w:lvlText w:val="•"/>
      <w:lvlJc w:val="left"/>
      <w:pPr>
        <w:tabs>
          <w:tab w:val="num" w:pos="6480"/>
        </w:tabs>
        <w:ind w:left="6480" w:hanging="360"/>
      </w:pPr>
      <w:rPr>
        <w:rFonts w:ascii="Arial" w:hAnsi="Arial" w:hint="default"/>
      </w:rPr>
    </w:lvl>
  </w:abstractNum>
  <w:abstractNum w:abstractNumId="4">
    <w:nsid w:val="59571851"/>
    <w:multiLevelType w:val="multilevel"/>
    <w:tmpl w:val="1AEC116C"/>
    <w:lvl w:ilvl="0">
      <w:start w:val="1"/>
      <w:numFmt w:val="bullet"/>
      <w:lvlText w:val=""/>
      <w:lvlJc w:val="left"/>
      <w:pPr>
        <w:tabs>
          <w:tab w:val="num" w:pos="360"/>
        </w:tabs>
        <w:ind w:left="340" w:hanging="34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32D2B"/>
    <w:rsid w:val="00000365"/>
    <w:rsid w:val="00004C73"/>
    <w:rsid w:val="00005537"/>
    <w:rsid w:val="0000565A"/>
    <w:rsid w:val="0000720D"/>
    <w:rsid w:val="000073A8"/>
    <w:rsid w:val="0001208D"/>
    <w:rsid w:val="00016062"/>
    <w:rsid w:val="0001752D"/>
    <w:rsid w:val="00022963"/>
    <w:rsid w:val="00022DCE"/>
    <w:rsid w:val="000253B1"/>
    <w:rsid w:val="00026783"/>
    <w:rsid w:val="0002736D"/>
    <w:rsid w:val="00030948"/>
    <w:rsid w:val="000313B6"/>
    <w:rsid w:val="0003573A"/>
    <w:rsid w:val="000358FC"/>
    <w:rsid w:val="00036CE4"/>
    <w:rsid w:val="000374BE"/>
    <w:rsid w:val="00037E22"/>
    <w:rsid w:val="0004199B"/>
    <w:rsid w:val="000467CE"/>
    <w:rsid w:val="00047C6C"/>
    <w:rsid w:val="000506E2"/>
    <w:rsid w:val="00050A3A"/>
    <w:rsid w:val="0005132E"/>
    <w:rsid w:val="00055C9B"/>
    <w:rsid w:val="00064B38"/>
    <w:rsid w:val="0007153B"/>
    <w:rsid w:val="00074924"/>
    <w:rsid w:val="00077907"/>
    <w:rsid w:val="00077D42"/>
    <w:rsid w:val="0008099C"/>
    <w:rsid w:val="0008195A"/>
    <w:rsid w:val="00084822"/>
    <w:rsid w:val="00084C3E"/>
    <w:rsid w:val="000934D0"/>
    <w:rsid w:val="00094298"/>
    <w:rsid w:val="00094ADF"/>
    <w:rsid w:val="000A17AA"/>
    <w:rsid w:val="000A1C39"/>
    <w:rsid w:val="000A794B"/>
    <w:rsid w:val="000A7D56"/>
    <w:rsid w:val="000B149F"/>
    <w:rsid w:val="000B2014"/>
    <w:rsid w:val="000B3080"/>
    <w:rsid w:val="000B3ECC"/>
    <w:rsid w:val="000B4520"/>
    <w:rsid w:val="000C4960"/>
    <w:rsid w:val="000D189F"/>
    <w:rsid w:val="000D22BB"/>
    <w:rsid w:val="000D299E"/>
    <w:rsid w:val="000D2FCF"/>
    <w:rsid w:val="000D3265"/>
    <w:rsid w:val="000D34D3"/>
    <w:rsid w:val="000D77F1"/>
    <w:rsid w:val="000E4073"/>
    <w:rsid w:val="000E4521"/>
    <w:rsid w:val="000E49AD"/>
    <w:rsid w:val="000E4E55"/>
    <w:rsid w:val="000E545E"/>
    <w:rsid w:val="000E715F"/>
    <w:rsid w:val="000E769C"/>
    <w:rsid w:val="000F13AE"/>
    <w:rsid w:val="000F4F4D"/>
    <w:rsid w:val="000F6E62"/>
    <w:rsid w:val="000F7DFC"/>
    <w:rsid w:val="001043C2"/>
    <w:rsid w:val="00106569"/>
    <w:rsid w:val="0011555E"/>
    <w:rsid w:val="00116A7C"/>
    <w:rsid w:val="0012025C"/>
    <w:rsid w:val="0013194D"/>
    <w:rsid w:val="00141294"/>
    <w:rsid w:val="00143C0A"/>
    <w:rsid w:val="00146185"/>
    <w:rsid w:val="001468AF"/>
    <w:rsid w:val="00150D93"/>
    <w:rsid w:val="001526FA"/>
    <w:rsid w:val="00157C95"/>
    <w:rsid w:val="00161110"/>
    <w:rsid w:val="001635E4"/>
    <w:rsid w:val="0016779E"/>
    <w:rsid w:val="00182B5D"/>
    <w:rsid w:val="00185920"/>
    <w:rsid w:val="00186324"/>
    <w:rsid w:val="00186A8D"/>
    <w:rsid w:val="00187D0C"/>
    <w:rsid w:val="001910E8"/>
    <w:rsid w:val="00191610"/>
    <w:rsid w:val="001A1510"/>
    <w:rsid w:val="001A3994"/>
    <w:rsid w:val="001A7DDB"/>
    <w:rsid w:val="001B422D"/>
    <w:rsid w:val="001B4B71"/>
    <w:rsid w:val="001C363B"/>
    <w:rsid w:val="001C7571"/>
    <w:rsid w:val="001C7583"/>
    <w:rsid w:val="001D0078"/>
    <w:rsid w:val="001D0561"/>
    <w:rsid w:val="001D2C13"/>
    <w:rsid w:val="001D2F03"/>
    <w:rsid w:val="001D38D5"/>
    <w:rsid w:val="001D6B79"/>
    <w:rsid w:val="001E140C"/>
    <w:rsid w:val="001E21CC"/>
    <w:rsid w:val="001E5467"/>
    <w:rsid w:val="001E560B"/>
    <w:rsid w:val="001E6F65"/>
    <w:rsid w:val="001F635D"/>
    <w:rsid w:val="001F7926"/>
    <w:rsid w:val="002018F0"/>
    <w:rsid w:val="002032B6"/>
    <w:rsid w:val="00203598"/>
    <w:rsid w:val="00205955"/>
    <w:rsid w:val="002062D9"/>
    <w:rsid w:val="002063C3"/>
    <w:rsid w:val="00206DA4"/>
    <w:rsid w:val="00206E03"/>
    <w:rsid w:val="002073AD"/>
    <w:rsid w:val="00210797"/>
    <w:rsid w:val="00210AA2"/>
    <w:rsid w:val="002110EE"/>
    <w:rsid w:val="00211268"/>
    <w:rsid w:val="00220181"/>
    <w:rsid w:val="00221290"/>
    <w:rsid w:val="00222A7D"/>
    <w:rsid w:val="00224E93"/>
    <w:rsid w:val="00226006"/>
    <w:rsid w:val="0023610B"/>
    <w:rsid w:val="00240EB8"/>
    <w:rsid w:val="00243B27"/>
    <w:rsid w:val="002451AC"/>
    <w:rsid w:val="00245B7D"/>
    <w:rsid w:val="00246622"/>
    <w:rsid w:val="0025423D"/>
    <w:rsid w:val="00254EE4"/>
    <w:rsid w:val="00255BC0"/>
    <w:rsid w:val="00257BCA"/>
    <w:rsid w:val="00260A99"/>
    <w:rsid w:val="002709CE"/>
    <w:rsid w:val="002725BD"/>
    <w:rsid w:val="00275C8C"/>
    <w:rsid w:val="00275F10"/>
    <w:rsid w:val="0027759F"/>
    <w:rsid w:val="00281BB1"/>
    <w:rsid w:val="00283337"/>
    <w:rsid w:val="00283E74"/>
    <w:rsid w:val="00284523"/>
    <w:rsid w:val="00284B90"/>
    <w:rsid w:val="0028591A"/>
    <w:rsid w:val="002863F3"/>
    <w:rsid w:val="002871DC"/>
    <w:rsid w:val="00293DFF"/>
    <w:rsid w:val="002943E2"/>
    <w:rsid w:val="002947AD"/>
    <w:rsid w:val="002A3DC2"/>
    <w:rsid w:val="002A530E"/>
    <w:rsid w:val="002A7AB5"/>
    <w:rsid w:val="002B21EB"/>
    <w:rsid w:val="002B652E"/>
    <w:rsid w:val="002B68BE"/>
    <w:rsid w:val="002C1C22"/>
    <w:rsid w:val="002C5882"/>
    <w:rsid w:val="002D65C6"/>
    <w:rsid w:val="002D6FA6"/>
    <w:rsid w:val="002E01EA"/>
    <w:rsid w:val="002E148C"/>
    <w:rsid w:val="002E14DD"/>
    <w:rsid w:val="002E3357"/>
    <w:rsid w:val="002E5102"/>
    <w:rsid w:val="002E58A5"/>
    <w:rsid w:val="002F181F"/>
    <w:rsid w:val="002F3EE2"/>
    <w:rsid w:val="002F55E7"/>
    <w:rsid w:val="0030040F"/>
    <w:rsid w:val="00301502"/>
    <w:rsid w:val="003017B3"/>
    <w:rsid w:val="00306DFB"/>
    <w:rsid w:val="00311896"/>
    <w:rsid w:val="00312560"/>
    <w:rsid w:val="00332027"/>
    <w:rsid w:val="00334991"/>
    <w:rsid w:val="003359E8"/>
    <w:rsid w:val="00340487"/>
    <w:rsid w:val="00341596"/>
    <w:rsid w:val="00341C18"/>
    <w:rsid w:val="00341EC5"/>
    <w:rsid w:val="003522FF"/>
    <w:rsid w:val="00353F3B"/>
    <w:rsid w:val="00354403"/>
    <w:rsid w:val="00355037"/>
    <w:rsid w:val="00357A1C"/>
    <w:rsid w:val="003614E4"/>
    <w:rsid w:val="003632F5"/>
    <w:rsid w:val="00366946"/>
    <w:rsid w:val="00367796"/>
    <w:rsid w:val="003679C7"/>
    <w:rsid w:val="00370484"/>
    <w:rsid w:val="00370661"/>
    <w:rsid w:val="0037753C"/>
    <w:rsid w:val="00377C40"/>
    <w:rsid w:val="00383844"/>
    <w:rsid w:val="00390D4C"/>
    <w:rsid w:val="00396777"/>
    <w:rsid w:val="003A2C65"/>
    <w:rsid w:val="003A6887"/>
    <w:rsid w:val="003B14FB"/>
    <w:rsid w:val="003B2D72"/>
    <w:rsid w:val="003C018F"/>
    <w:rsid w:val="003C1678"/>
    <w:rsid w:val="003C2A1D"/>
    <w:rsid w:val="003C3D6F"/>
    <w:rsid w:val="003C5788"/>
    <w:rsid w:val="003D07B8"/>
    <w:rsid w:val="003D143A"/>
    <w:rsid w:val="003D3ABE"/>
    <w:rsid w:val="003D3B93"/>
    <w:rsid w:val="003E122D"/>
    <w:rsid w:val="003E3803"/>
    <w:rsid w:val="003E39D5"/>
    <w:rsid w:val="003E5812"/>
    <w:rsid w:val="003F1071"/>
    <w:rsid w:val="003F2589"/>
    <w:rsid w:val="003F5485"/>
    <w:rsid w:val="003F58BD"/>
    <w:rsid w:val="003F70F5"/>
    <w:rsid w:val="003F7751"/>
    <w:rsid w:val="004001D9"/>
    <w:rsid w:val="00403B4F"/>
    <w:rsid w:val="00406F5E"/>
    <w:rsid w:val="00417AF4"/>
    <w:rsid w:val="0042054E"/>
    <w:rsid w:val="004206FB"/>
    <w:rsid w:val="00424249"/>
    <w:rsid w:val="00425303"/>
    <w:rsid w:val="00427CE7"/>
    <w:rsid w:val="00430C8B"/>
    <w:rsid w:val="00432D2B"/>
    <w:rsid w:val="0043627C"/>
    <w:rsid w:val="0043669E"/>
    <w:rsid w:val="00436987"/>
    <w:rsid w:val="00436ADF"/>
    <w:rsid w:val="0044172B"/>
    <w:rsid w:val="00441BCB"/>
    <w:rsid w:val="00442F0C"/>
    <w:rsid w:val="0044613C"/>
    <w:rsid w:val="0044727A"/>
    <w:rsid w:val="00447E76"/>
    <w:rsid w:val="00450D46"/>
    <w:rsid w:val="004513CE"/>
    <w:rsid w:val="00451842"/>
    <w:rsid w:val="004528BE"/>
    <w:rsid w:val="00453CDF"/>
    <w:rsid w:val="0045492E"/>
    <w:rsid w:val="004551B9"/>
    <w:rsid w:val="004564D4"/>
    <w:rsid w:val="00456B20"/>
    <w:rsid w:val="00456E61"/>
    <w:rsid w:val="00457FEB"/>
    <w:rsid w:val="00464132"/>
    <w:rsid w:val="00470636"/>
    <w:rsid w:val="0047183B"/>
    <w:rsid w:val="00473E2C"/>
    <w:rsid w:val="00473E76"/>
    <w:rsid w:val="00475132"/>
    <w:rsid w:val="00480F3B"/>
    <w:rsid w:val="0048204B"/>
    <w:rsid w:val="004848C1"/>
    <w:rsid w:val="004859A3"/>
    <w:rsid w:val="004879FC"/>
    <w:rsid w:val="00487D18"/>
    <w:rsid w:val="00490250"/>
    <w:rsid w:val="00490320"/>
    <w:rsid w:val="0049097D"/>
    <w:rsid w:val="004948B3"/>
    <w:rsid w:val="0049572B"/>
    <w:rsid w:val="004A414C"/>
    <w:rsid w:val="004A4C7C"/>
    <w:rsid w:val="004A5E14"/>
    <w:rsid w:val="004A76B4"/>
    <w:rsid w:val="004B16D9"/>
    <w:rsid w:val="004B3649"/>
    <w:rsid w:val="004B463E"/>
    <w:rsid w:val="004B54B7"/>
    <w:rsid w:val="004B58FD"/>
    <w:rsid w:val="004B5B3C"/>
    <w:rsid w:val="004C101F"/>
    <w:rsid w:val="004C15B0"/>
    <w:rsid w:val="004C2932"/>
    <w:rsid w:val="004C4549"/>
    <w:rsid w:val="004C7356"/>
    <w:rsid w:val="004C75CF"/>
    <w:rsid w:val="004D5BF8"/>
    <w:rsid w:val="004E1ABE"/>
    <w:rsid w:val="004E24F6"/>
    <w:rsid w:val="004E3B5C"/>
    <w:rsid w:val="004E5457"/>
    <w:rsid w:val="004E6655"/>
    <w:rsid w:val="004E7790"/>
    <w:rsid w:val="004F29E4"/>
    <w:rsid w:val="004F40F0"/>
    <w:rsid w:val="004F44A3"/>
    <w:rsid w:val="004F4F48"/>
    <w:rsid w:val="004F54D8"/>
    <w:rsid w:val="004F56D5"/>
    <w:rsid w:val="00501FA9"/>
    <w:rsid w:val="005044E7"/>
    <w:rsid w:val="00513210"/>
    <w:rsid w:val="0051758B"/>
    <w:rsid w:val="00524898"/>
    <w:rsid w:val="00527714"/>
    <w:rsid w:val="00533B30"/>
    <w:rsid w:val="00535036"/>
    <w:rsid w:val="005356C6"/>
    <w:rsid w:val="005357EA"/>
    <w:rsid w:val="00535E69"/>
    <w:rsid w:val="00542ADB"/>
    <w:rsid w:val="00543CDC"/>
    <w:rsid w:val="00544396"/>
    <w:rsid w:val="0055539E"/>
    <w:rsid w:val="0055632A"/>
    <w:rsid w:val="00557205"/>
    <w:rsid w:val="00561AB5"/>
    <w:rsid w:val="00564475"/>
    <w:rsid w:val="00564F5E"/>
    <w:rsid w:val="005704CD"/>
    <w:rsid w:val="00570EAE"/>
    <w:rsid w:val="005738AC"/>
    <w:rsid w:val="00576802"/>
    <w:rsid w:val="00577026"/>
    <w:rsid w:val="00584A5E"/>
    <w:rsid w:val="00584B34"/>
    <w:rsid w:val="005933D8"/>
    <w:rsid w:val="005941D4"/>
    <w:rsid w:val="005A09D5"/>
    <w:rsid w:val="005A22FC"/>
    <w:rsid w:val="005A344B"/>
    <w:rsid w:val="005A5061"/>
    <w:rsid w:val="005A6DF8"/>
    <w:rsid w:val="005A7145"/>
    <w:rsid w:val="005A7B66"/>
    <w:rsid w:val="005B1074"/>
    <w:rsid w:val="005B3A8F"/>
    <w:rsid w:val="005B66F4"/>
    <w:rsid w:val="005D07F9"/>
    <w:rsid w:val="005D4D78"/>
    <w:rsid w:val="005E0EE3"/>
    <w:rsid w:val="005E1CE1"/>
    <w:rsid w:val="005E3C8A"/>
    <w:rsid w:val="005E4AFA"/>
    <w:rsid w:val="005E5C48"/>
    <w:rsid w:val="005E6A88"/>
    <w:rsid w:val="005E7BD6"/>
    <w:rsid w:val="005F06BC"/>
    <w:rsid w:val="005F0AB2"/>
    <w:rsid w:val="005F4087"/>
    <w:rsid w:val="005F4454"/>
    <w:rsid w:val="005F56A3"/>
    <w:rsid w:val="005F571F"/>
    <w:rsid w:val="00601AD0"/>
    <w:rsid w:val="00605158"/>
    <w:rsid w:val="006069B5"/>
    <w:rsid w:val="00610660"/>
    <w:rsid w:val="0061081B"/>
    <w:rsid w:val="00620156"/>
    <w:rsid w:val="00620542"/>
    <w:rsid w:val="00622844"/>
    <w:rsid w:val="00622CAF"/>
    <w:rsid w:val="006271EC"/>
    <w:rsid w:val="00630764"/>
    <w:rsid w:val="00630813"/>
    <w:rsid w:val="00630B8D"/>
    <w:rsid w:val="00630ED8"/>
    <w:rsid w:val="006316BA"/>
    <w:rsid w:val="00631A1A"/>
    <w:rsid w:val="00631EB3"/>
    <w:rsid w:val="00637BBF"/>
    <w:rsid w:val="0064000D"/>
    <w:rsid w:val="00646176"/>
    <w:rsid w:val="00647058"/>
    <w:rsid w:val="006513FB"/>
    <w:rsid w:val="0065317C"/>
    <w:rsid w:val="00661D53"/>
    <w:rsid w:val="0066240C"/>
    <w:rsid w:val="006643E8"/>
    <w:rsid w:val="00664F2F"/>
    <w:rsid w:val="006664A9"/>
    <w:rsid w:val="00666AB2"/>
    <w:rsid w:val="00674D48"/>
    <w:rsid w:val="006808BD"/>
    <w:rsid w:val="006829F9"/>
    <w:rsid w:val="00683102"/>
    <w:rsid w:val="00684D6D"/>
    <w:rsid w:val="0068502F"/>
    <w:rsid w:val="0068539F"/>
    <w:rsid w:val="00686F88"/>
    <w:rsid w:val="006923AC"/>
    <w:rsid w:val="00693C97"/>
    <w:rsid w:val="006949F0"/>
    <w:rsid w:val="00695A7B"/>
    <w:rsid w:val="00696E75"/>
    <w:rsid w:val="006A048B"/>
    <w:rsid w:val="006A2278"/>
    <w:rsid w:val="006A57F5"/>
    <w:rsid w:val="006A7385"/>
    <w:rsid w:val="006A754F"/>
    <w:rsid w:val="006B2678"/>
    <w:rsid w:val="006B42A1"/>
    <w:rsid w:val="006B4D49"/>
    <w:rsid w:val="006B63F6"/>
    <w:rsid w:val="006B6C00"/>
    <w:rsid w:val="006B714D"/>
    <w:rsid w:val="006B7BC4"/>
    <w:rsid w:val="006C0B00"/>
    <w:rsid w:val="006C75EA"/>
    <w:rsid w:val="006C7C77"/>
    <w:rsid w:val="006D1439"/>
    <w:rsid w:val="006D2F24"/>
    <w:rsid w:val="006D5304"/>
    <w:rsid w:val="006D62F1"/>
    <w:rsid w:val="006E0B16"/>
    <w:rsid w:val="006E0D46"/>
    <w:rsid w:val="006E5931"/>
    <w:rsid w:val="006E6099"/>
    <w:rsid w:val="006E7A90"/>
    <w:rsid w:val="006F3DF6"/>
    <w:rsid w:val="006F7781"/>
    <w:rsid w:val="006F78F4"/>
    <w:rsid w:val="00707821"/>
    <w:rsid w:val="00707A31"/>
    <w:rsid w:val="00711B01"/>
    <w:rsid w:val="007140BD"/>
    <w:rsid w:val="0071770C"/>
    <w:rsid w:val="007200EA"/>
    <w:rsid w:val="00720B83"/>
    <w:rsid w:val="00721C1F"/>
    <w:rsid w:val="00724B61"/>
    <w:rsid w:val="007252B8"/>
    <w:rsid w:val="00730031"/>
    <w:rsid w:val="00732A87"/>
    <w:rsid w:val="00734731"/>
    <w:rsid w:val="00737BBD"/>
    <w:rsid w:val="00740C62"/>
    <w:rsid w:val="00741CCC"/>
    <w:rsid w:val="00742963"/>
    <w:rsid w:val="007468FC"/>
    <w:rsid w:val="00747279"/>
    <w:rsid w:val="007472B4"/>
    <w:rsid w:val="00750568"/>
    <w:rsid w:val="0075172C"/>
    <w:rsid w:val="00752D53"/>
    <w:rsid w:val="00753599"/>
    <w:rsid w:val="007536BB"/>
    <w:rsid w:val="007541BA"/>
    <w:rsid w:val="00755304"/>
    <w:rsid w:val="007617F5"/>
    <w:rsid w:val="00763D39"/>
    <w:rsid w:val="00770D1A"/>
    <w:rsid w:val="0077633F"/>
    <w:rsid w:val="00781888"/>
    <w:rsid w:val="00784FFF"/>
    <w:rsid w:val="0078661E"/>
    <w:rsid w:val="0078721E"/>
    <w:rsid w:val="007900CB"/>
    <w:rsid w:val="007902F1"/>
    <w:rsid w:val="0079118A"/>
    <w:rsid w:val="007923A2"/>
    <w:rsid w:val="00794BE1"/>
    <w:rsid w:val="00794D7E"/>
    <w:rsid w:val="00795D5A"/>
    <w:rsid w:val="00795DF6"/>
    <w:rsid w:val="0079724D"/>
    <w:rsid w:val="00797AA3"/>
    <w:rsid w:val="00797FCC"/>
    <w:rsid w:val="00797FE9"/>
    <w:rsid w:val="007A020D"/>
    <w:rsid w:val="007A0F85"/>
    <w:rsid w:val="007A26F7"/>
    <w:rsid w:val="007A5DCA"/>
    <w:rsid w:val="007A7DD1"/>
    <w:rsid w:val="007A7E2D"/>
    <w:rsid w:val="007B0BA3"/>
    <w:rsid w:val="007B0ED8"/>
    <w:rsid w:val="007B2B3A"/>
    <w:rsid w:val="007B3B45"/>
    <w:rsid w:val="007B4DE7"/>
    <w:rsid w:val="007B7B5F"/>
    <w:rsid w:val="007C087C"/>
    <w:rsid w:val="007C405C"/>
    <w:rsid w:val="007C4BAC"/>
    <w:rsid w:val="007C50EB"/>
    <w:rsid w:val="007C7932"/>
    <w:rsid w:val="007D0D2D"/>
    <w:rsid w:val="007D133C"/>
    <w:rsid w:val="007D51F4"/>
    <w:rsid w:val="007D5218"/>
    <w:rsid w:val="007D5A06"/>
    <w:rsid w:val="007D5A8A"/>
    <w:rsid w:val="007D7D7B"/>
    <w:rsid w:val="007E0468"/>
    <w:rsid w:val="007E2490"/>
    <w:rsid w:val="007E5365"/>
    <w:rsid w:val="007E7C3C"/>
    <w:rsid w:val="007F0E9D"/>
    <w:rsid w:val="007F1292"/>
    <w:rsid w:val="007F1650"/>
    <w:rsid w:val="007F1D4F"/>
    <w:rsid w:val="007F4D4D"/>
    <w:rsid w:val="00800176"/>
    <w:rsid w:val="00804007"/>
    <w:rsid w:val="008042C4"/>
    <w:rsid w:val="008046BB"/>
    <w:rsid w:val="00807345"/>
    <w:rsid w:val="00807CEF"/>
    <w:rsid w:val="00810701"/>
    <w:rsid w:val="00811792"/>
    <w:rsid w:val="00812184"/>
    <w:rsid w:val="008173D4"/>
    <w:rsid w:val="008208D5"/>
    <w:rsid w:val="008247C2"/>
    <w:rsid w:val="00824E79"/>
    <w:rsid w:val="00825687"/>
    <w:rsid w:val="008271C1"/>
    <w:rsid w:val="008309B3"/>
    <w:rsid w:val="008310A5"/>
    <w:rsid w:val="008310B2"/>
    <w:rsid w:val="00831301"/>
    <w:rsid w:val="00833007"/>
    <w:rsid w:val="0083799A"/>
    <w:rsid w:val="00840200"/>
    <w:rsid w:val="00841037"/>
    <w:rsid w:val="0084298A"/>
    <w:rsid w:val="00847A1F"/>
    <w:rsid w:val="00850A1B"/>
    <w:rsid w:val="00852987"/>
    <w:rsid w:val="00853B83"/>
    <w:rsid w:val="008541F1"/>
    <w:rsid w:val="008567F4"/>
    <w:rsid w:val="00860C1E"/>
    <w:rsid w:val="00861438"/>
    <w:rsid w:val="008614B9"/>
    <w:rsid w:val="00870066"/>
    <w:rsid w:val="00874661"/>
    <w:rsid w:val="00883EBB"/>
    <w:rsid w:val="00887FDF"/>
    <w:rsid w:val="008911AC"/>
    <w:rsid w:val="008956D8"/>
    <w:rsid w:val="008973D1"/>
    <w:rsid w:val="008A07B0"/>
    <w:rsid w:val="008A1E2C"/>
    <w:rsid w:val="008A600C"/>
    <w:rsid w:val="008B2515"/>
    <w:rsid w:val="008B3BF3"/>
    <w:rsid w:val="008B56EE"/>
    <w:rsid w:val="008C1A16"/>
    <w:rsid w:val="008C4077"/>
    <w:rsid w:val="008C5485"/>
    <w:rsid w:val="008C623D"/>
    <w:rsid w:val="008D065C"/>
    <w:rsid w:val="008D3FA7"/>
    <w:rsid w:val="008D63A0"/>
    <w:rsid w:val="008E2B18"/>
    <w:rsid w:val="008E33A9"/>
    <w:rsid w:val="008E35B5"/>
    <w:rsid w:val="008E3A84"/>
    <w:rsid w:val="008E4F25"/>
    <w:rsid w:val="008E5A6A"/>
    <w:rsid w:val="008E5D0E"/>
    <w:rsid w:val="008F1A1C"/>
    <w:rsid w:val="008F21FA"/>
    <w:rsid w:val="008F2C50"/>
    <w:rsid w:val="008F5811"/>
    <w:rsid w:val="008F6B55"/>
    <w:rsid w:val="009008D7"/>
    <w:rsid w:val="009009A2"/>
    <w:rsid w:val="00900BE4"/>
    <w:rsid w:val="00902D94"/>
    <w:rsid w:val="00906A1E"/>
    <w:rsid w:val="009109D3"/>
    <w:rsid w:val="0091559C"/>
    <w:rsid w:val="00917668"/>
    <w:rsid w:val="00920CB1"/>
    <w:rsid w:val="0092112C"/>
    <w:rsid w:val="009223AB"/>
    <w:rsid w:val="00923F65"/>
    <w:rsid w:val="00925379"/>
    <w:rsid w:val="00931F04"/>
    <w:rsid w:val="00932324"/>
    <w:rsid w:val="00940A08"/>
    <w:rsid w:val="009431CC"/>
    <w:rsid w:val="00946470"/>
    <w:rsid w:val="00946D1A"/>
    <w:rsid w:val="009471AC"/>
    <w:rsid w:val="009472B6"/>
    <w:rsid w:val="00950CE6"/>
    <w:rsid w:val="00951096"/>
    <w:rsid w:val="00957B51"/>
    <w:rsid w:val="00963C1B"/>
    <w:rsid w:val="0096540B"/>
    <w:rsid w:val="009708C0"/>
    <w:rsid w:val="00972D9A"/>
    <w:rsid w:val="009744B0"/>
    <w:rsid w:val="00974B3E"/>
    <w:rsid w:val="00975F06"/>
    <w:rsid w:val="0097612D"/>
    <w:rsid w:val="00983575"/>
    <w:rsid w:val="009854C6"/>
    <w:rsid w:val="009857D2"/>
    <w:rsid w:val="00987263"/>
    <w:rsid w:val="00990606"/>
    <w:rsid w:val="00991A5F"/>
    <w:rsid w:val="00992D22"/>
    <w:rsid w:val="0099400A"/>
    <w:rsid w:val="0099458E"/>
    <w:rsid w:val="00994AD6"/>
    <w:rsid w:val="00996918"/>
    <w:rsid w:val="009979E6"/>
    <w:rsid w:val="009A0D66"/>
    <w:rsid w:val="009A24D4"/>
    <w:rsid w:val="009A2A70"/>
    <w:rsid w:val="009A2AD7"/>
    <w:rsid w:val="009A37A8"/>
    <w:rsid w:val="009A520E"/>
    <w:rsid w:val="009A6887"/>
    <w:rsid w:val="009A7413"/>
    <w:rsid w:val="009B47EB"/>
    <w:rsid w:val="009B64D8"/>
    <w:rsid w:val="009C18EC"/>
    <w:rsid w:val="009C4940"/>
    <w:rsid w:val="009C73C0"/>
    <w:rsid w:val="009C7CEC"/>
    <w:rsid w:val="009C7E83"/>
    <w:rsid w:val="009D0112"/>
    <w:rsid w:val="009D2D64"/>
    <w:rsid w:val="009D2E92"/>
    <w:rsid w:val="009D39FF"/>
    <w:rsid w:val="009E0BCA"/>
    <w:rsid w:val="009E0FC4"/>
    <w:rsid w:val="009F085D"/>
    <w:rsid w:val="009F0F4D"/>
    <w:rsid w:val="009F32AC"/>
    <w:rsid w:val="009F3333"/>
    <w:rsid w:val="009F5E47"/>
    <w:rsid w:val="009F73DD"/>
    <w:rsid w:val="00A018D5"/>
    <w:rsid w:val="00A01923"/>
    <w:rsid w:val="00A05958"/>
    <w:rsid w:val="00A06976"/>
    <w:rsid w:val="00A11113"/>
    <w:rsid w:val="00A12451"/>
    <w:rsid w:val="00A13B46"/>
    <w:rsid w:val="00A15F26"/>
    <w:rsid w:val="00A204DD"/>
    <w:rsid w:val="00A20C6C"/>
    <w:rsid w:val="00A306BE"/>
    <w:rsid w:val="00A32D8E"/>
    <w:rsid w:val="00A3441A"/>
    <w:rsid w:val="00A349E5"/>
    <w:rsid w:val="00A36BFA"/>
    <w:rsid w:val="00A426B5"/>
    <w:rsid w:val="00A4693C"/>
    <w:rsid w:val="00A529FA"/>
    <w:rsid w:val="00A54B10"/>
    <w:rsid w:val="00A61A88"/>
    <w:rsid w:val="00A63BE2"/>
    <w:rsid w:val="00A64AD9"/>
    <w:rsid w:val="00A66D57"/>
    <w:rsid w:val="00A7012B"/>
    <w:rsid w:val="00A70648"/>
    <w:rsid w:val="00A71AA2"/>
    <w:rsid w:val="00A75B91"/>
    <w:rsid w:val="00A775BA"/>
    <w:rsid w:val="00A8016C"/>
    <w:rsid w:val="00A8096C"/>
    <w:rsid w:val="00A80E2E"/>
    <w:rsid w:val="00A8145B"/>
    <w:rsid w:val="00A81DE5"/>
    <w:rsid w:val="00A82E89"/>
    <w:rsid w:val="00A849AE"/>
    <w:rsid w:val="00A86E68"/>
    <w:rsid w:val="00A87A67"/>
    <w:rsid w:val="00A90651"/>
    <w:rsid w:val="00A910D7"/>
    <w:rsid w:val="00A95714"/>
    <w:rsid w:val="00AA19AB"/>
    <w:rsid w:val="00AA2728"/>
    <w:rsid w:val="00AA37B3"/>
    <w:rsid w:val="00AA4F58"/>
    <w:rsid w:val="00AA5B91"/>
    <w:rsid w:val="00AA7402"/>
    <w:rsid w:val="00AA74F3"/>
    <w:rsid w:val="00AA76E5"/>
    <w:rsid w:val="00AB2139"/>
    <w:rsid w:val="00AB3EA2"/>
    <w:rsid w:val="00AC0551"/>
    <w:rsid w:val="00AC130A"/>
    <w:rsid w:val="00AC1ED1"/>
    <w:rsid w:val="00AC63D2"/>
    <w:rsid w:val="00AC7044"/>
    <w:rsid w:val="00AD162C"/>
    <w:rsid w:val="00AD29FF"/>
    <w:rsid w:val="00AD5685"/>
    <w:rsid w:val="00AD6629"/>
    <w:rsid w:val="00AD74A8"/>
    <w:rsid w:val="00AE05FE"/>
    <w:rsid w:val="00AE2529"/>
    <w:rsid w:val="00AE4C87"/>
    <w:rsid w:val="00AE66E2"/>
    <w:rsid w:val="00AF072D"/>
    <w:rsid w:val="00AF413C"/>
    <w:rsid w:val="00AF424D"/>
    <w:rsid w:val="00B0370F"/>
    <w:rsid w:val="00B04220"/>
    <w:rsid w:val="00B06675"/>
    <w:rsid w:val="00B1067D"/>
    <w:rsid w:val="00B129F0"/>
    <w:rsid w:val="00B13666"/>
    <w:rsid w:val="00B155F8"/>
    <w:rsid w:val="00B251A4"/>
    <w:rsid w:val="00B25736"/>
    <w:rsid w:val="00B31C36"/>
    <w:rsid w:val="00B327EF"/>
    <w:rsid w:val="00B3562D"/>
    <w:rsid w:val="00B35D01"/>
    <w:rsid w:val="00B36A30"/>
    <w:rsid w:val="00B378F5"/>
    <w:rsid w:val="00B37DE9"/>
    <w:rsid w:val="00B40626"/>
    <w:rsid w:val="00B45490"/>
    <w:rsid w:val="00B566C6"/>
    <w:rsid w:val="00B6322C"/>
    <w:rsid w:val="00B63C57"/>
    <w:rsid w:val="00B65994"/>
    <w:rsid w:val="00B665D4"/>
    <w:rsid w:val="00B70E6B"/>
    <w:rsid w:val="00B7158F"/>
    <w:rsid w:val="00B72050"/>
    <w:rsid w:val="00B72358"/>
    <w:rsid w:val="00B8557C"/>
    <w:rsid w:val="00B862BF"/>
    <w:rsid w:val="00B864F4"/>
    <w:rsid w:val="00B86F9F"/>
    <w:rsid w:val="00B8792D"/>
    <w:rsid w:val="00B91639"/>
    <w:rsid w:val="00B9376E"/>
    <w:rsid w:val="00B9378E"/>
    <w:rsid w:val="00B97FB2"/>
    <w:rsid w:val="00BA2587"/>
    <w:rsid w:val="00BA4431"/>
    <w:rsid w:val="00BA6F24"/>
    <w:rsid w:val="00BB0F6A"/>
    <w:rsid w:val="00BB1E8A"/>
    <w:rsid w:val="00BB34B5"/>
    <w:rsid w:val="00BB3DA0"/>
    <w:rsid w:val="00BB50F4"/>
    <w:rsid w:val="00BB6CA0"/>
    <w:rsid w:val="00BC07C7"/>
    <w:rsid w:val="00BC0D7E"/>
    <w:rsid w:val="00BC4C8C"/>
    <w:rsid w:val="00BD19BA"/>
    <w:rsid w:val="00BD5BB5"/>
    <w:rsid w:val="00BD6E53"/>
    <w:rsid w:val="00BE2DA6"/>
    <w:rsid w:val="00BE43B3"/>
    <w:rsid w:val="00BE454A"/>
    <w:rsid w:val="00BE62D0"/>
    <w:rsid w:val="00BE68A5"/>
    <w:rsid w:val="00BE69BB"/>
    <w:rsid w:val="00BE7111"/>
    <w:rsid w:val="00BE7805"/>
    <w:rsid w:val="00BF6718"/>
    <w:rsid w:val="00C00A07"/>
    <w:rsid w:val="00C05808"/>
    <w:rsid w:val="00C10628"/>
    <w:rsid w:val="00C12DAB"/>
    <w:rsid w:val="00C150AA"/>
    <w:rsid w:val="00C231EB"/>
    <w:rsid w:val="00C24CAE"/>
    <w:rsid w:val="00C313A0"/>
    <w:rsid w:val="00C337A4"/>
    <w:rsid w:val="00C33C64"/>
    <w:rsid w:val="00C35BED"/>
    <w:rsid w:val="00C41ADD"/>
    <w:rsid w:val="00C44FA3"/>
    <w:rsid w:val="00C469B5"/>
    <w:rsid w:val="00C46C42"/>
    <w:rsid w:val="00C46EEC"/>
    <w:rsid w:val="00C476C3"/>
    <w:rsid w:val="00C504C1"/>
    <w:rsid w:val="00C516FA"/>
    <w:rsid w:val="00C51BC6"/>
    <w:rsid w:val="00C52275"/>
    <w:rsid w:val="00C5269D"/>
    <w:rsid w:val="00C533F5"/>
    <w:rsid w:val="00C53A22"/>
    <w:rsid w:val="00C55FAB"/>
    <w:rsid w:val="00C57FA0"/>
    <w:rsid w:val="00C62CE8"/>
    <w:rsid w:val="00C641AD"/>
    <w:rsid w:val="00C6426C"/>
    <w:rsid w:val="00C67053"/>
    <w:rsid w:val="00C7112F"/>
    <w:rsid w:val="00C71D34"/>
    <w:rsid w:val="00C72630"/>
    <w:rsid w:val="00C73065"/>
    <w:rsid w:val="00C76C88"/>
    <w:rsid w:val="00C81D89"/>
    <w:rsid w:val="00C81EBF"/>
    <w:rsid w:val="00C8267A"/>
    <w:rsid w:val="00C826D7"/>
    <w:rsid w:val="00C8277D"/>
    <w:rsid w:val="00C829D1"/>
    <w:rsid w:val="00C840A4"/>
    <w:rsid w:val="00C90A96"/>
    <w:rsid w:val="00C92A2E"/>
    <w:rsid w:val="00CA4591"/>
    <w:rsid w:val="00CA60EA"/>
    <w:rsid w:val="00CA7DC9"/>
    <w:rsid w:val="00CB3BA3"/>
    <w:rsid w:val="00CB5E62"/>
    <w:rsid w:val="00CC24C3"/>
    <w:rsid w:val="00CC30CD"/>
    <w:rsid w:val="00CC5E98"/>
    <w:rsid w:val="00CD0462"/>
    <w:rsid w:val="00CD0A6E"/>
    <w:rsid w:val="00CD1D46"/>
    <w:rsid w:val="00CD530C"/>
    <w:rsid w:val="00CD781D"/>
    <w:rsid w:val="00CE2EF8"/>
    <w:rsid w:val="00CE4A3D"/>
    <w:rsid w:val="00CE6F6C"/>
    <w:rsid w:val="00CE70EB"/>
    <w:rsid w:val="00CF0D3C"/>
    <w:rsid w:val="00CF2AEE"/>
    <w:rsid w:val="00CF31CE"/>
    <w:rsid w:val="00CF608E"/>
    <w:rsid w:val="00CF6EFD"/>
    <w:rsid w:val="00D02232"/>
    <w:rsid w:val="00D02ABA"/>
    <w:rsid w:val="00D02ADD"/>
    <w:rsid w:val="00D05533"/>
    <w:rsid w:val="00D05B92"/>
    <w:rsid w:val="00D064D7"/>
    <w:rsid w:val="00D1053B"/>
    <w:rsid w:val="00D1076F"/>
    <w:rsid w:val="00D15670"/>
    <w:rsid w:val="00D204CE"/>
    <w:rsid w:val="00D21E96"/>
    <w:rsid w:val="00D226C8"/>
    <w:rsid w:val="00D34A89"/>
    <w:rsid w:val="00D3706B"/>
    <w:rsid w:val="00D37C12"/>
    <w:rsid w:val="00D41C6D"/>
    <w:rsid w:val="00D42E7D"/>
    <w:rsid w:val="00D44449"/>
    <w:rsid w:val="00D50356"/>
    <w:rsid w:val="00D54E4C"/>
    <w:rsid w:val="00D624CA"/>
    <w:rsid w:val="00D73E33"/>
    <w:rsid w:val="00D74C1E"/>
    <w:rsid w:val="00D76291"/>
    <w:rsid w:val="00D76BB2"/>
    <w:rsid w:val="00D77530"/>
    <w:rsid w:val="00D80B83"/>
    <w:rsid w:val="00D84168"/>
    <w:rsid w:val="00D9445D"/>
    <w:rsid w:val="00D9525A"/>
    <w:rsid w:val="00D95BA8"/>
    <w:rsid w:val="00D96373"/>
    <w:rsid w:val="00D96FFF"/>
    <w:rsid w:val="00D97FBF"/>
    <w:rsid w:val="00DA0844"/>
    <w:rsid w:val="00DA5ACB"/>
    <w:rsid w:val="00DA79C0"/>
    <w:rsid w:val="00DB14BD"/>
    <w:rsid w:val="00DB4442"/>
    <w:rsid w:val="00DB671A"/>
    <w:rsid w:val="00DC2DCE"/>
    <w:rsid w:val="00DC31C5"/>
    <w:rsid w:val="00DC543F"/>
    <w:rsid w:val="00DC6C29"/>
    <w:rsid w:val="00DD1234"/>
    <w:rsid w:val="00DD3694"/>
    <w:rsid w:val="00DD37A9"/>
    <w:rsid w:val="00DD37BA"/>
    <w:rsid w:val="00DD398C"/>
    <w:rsid w:val="00DD3B56"/>
    <w:rsid w:val="00DE05D7"/>
    <w:rsid w:val="00DE0AD7"/>
    <w:rsid w:val="00DE4A1C"/>
    <w:rsid w:val="00DF2F08"/>
    <w:rsid w:val="00DF7D2D"/>
    <w:rsid w:val="00E02D9C"/>
    <w:rsid w:val="00E069E3"/>
    <w:rsid w:val="00E1075D"/>
    <w:rsid w:val="00E11399"/>
    <w:rsid w:val="00E11CDB"/>
    <w:rsid w:val="00E135E9"/>
    <w:rsid w:val="00E16F87"/>
    <w:rsid w:val="00E25D71"/>
    <w:rsid w:val="00E26461"/>
    <w:rsid w:val="00E26D31"/>
    <w:rsid w:val="00E26DAD"/>
    <w:rsid w:val="00E3041B"/>
    <w:rsid w:val="00E3050D"/>
    <w:rsid w:val="00E30916"/>
    <w:rsid w:val="00E31F5A"/>
    <w:rsid w:val="00E3408B"/>
    <w:rsid w:val="00E341A9"/>
    <w:rsid w:val="00E373B6"/>
    <w:rsid w:val="00E41FF1"/>
    <w:rsid w:val="00E43BFF"/>
    <w:rsid w:val="00E46CB2"/>
    <w:rsid w:val="00E479EB"/>
    <w:rsid w:val="00E55C3C"/>
    <w:rsid w:val="00E5673A"/>
    <w:rsid w:val="00E56FB7"/>
    <w:rsid w:val="00E61203"/>
    <w:rsid w:val="00E670B4"/>
    <w:rsid w:val="00E7154F"/>
    <w:rsid w:val="00E7339B"/>
    <w:rsid w:val="00E756CB"/>
    <w:rsid w:val="00E757A4"/>
    <w:rsid w:val="00E758CD"/>
    <w:rsid w:val="00E75BA4"/>
    <w:rsid w:val="00E77C5F"/>
    <w:rsid w:val="00E80B5E"/>
    <w:rsid w:val="00E83C87"/>
    <w:rsid w:val="00E83D23"/>
    <w:rsid w:val="00E87A37"/>
    <w:rsid w:val="00E87FB7"/>
    <w:rsid w:val="00E94352"/>
    <w:rsid w:val="00E96D6C"/>
    <w:rsid w:val="00E97DE8"/>
    <w:rsid w:val="00EA2F65"/>
    <w:rsid w:val="00EA3717"/>
    <w:rsid w:val="00EA4783"/>
    <w:rsid w:val="00EA6C7D"/>
    <w:rsid w:val="00EB141F"/>
    <w:rsid w:val="00EB655F"/>
    <w:rsid w:val="00EB7A57"/>
    <w:rsid w:val="00EC52DA"/>
    <w:rsid w:val="00EC7BA6"/>
    <w:rsid w:val="00ED19E7"/>
    <w:rsid w:val="00ED1BE5"/>
    <w:rsid w:val="00ED4354"/>
    <w:rsid w:val="00ED60D0"/>
    <w:rsid w:val="00ED670A"/>
    <w:rsid w:val="00EE01A2"/>
    <w:rsid w:val="00EE096A"/>
    <w:rsid w:val="00EE1329"/>
    <w:rsid w:val="00EE42B8"/>
    <w:rsid w:val="00EE456F"/>
    <w:rsid w:val="00EE7AC7"/>
    <w:rsid w:val="00EF01B9"/>
    <w:rsid w:val="00EF2F96"/>
    <w:rsid w:val="00EF5D36"/>
    <w:rsid w:val="00F008E2"/>
    <w:rsid w:val="00F009A2"/>
    <w:rsid w:val="00F02927"/>
    <w:rsid w:val="00F04D4F"/>
    <w:rsid w:val="00F05C9E"/>
    <w:rsid w:val="00F07B34"/>
    <w:rsid w:val="00F11A37"/>
    <w:rsid w:val="00F1380C"/>
    <w:rsid w:val="00F1442B"/>
    <w:rsid w:val="00F152DD"/>
    <w:rsid w:val="00F17436"/>
    <w:rsid w:val="00F202A7"/>
    <w:rsid w:val="00F20E23"/>
    <w:rsid w:val="00F23885"/>
    <w:rsid w:val="00F23FD4"/>
    <w:rsid w:val="00F24B75"/>
    <w:rsid w:val="00F24BEF"/>
    <w:rsid w:val="00F259DB"/>
    <w:rsid w:val="00F300DE"/>
    <w:rsid w:val="00F314D7"/>
    <w:rsid w:val="00F34593"/>
    <w:rsid w:val="00F34DF4"/>
    <w:rsid w:val="00F35C5D"/>
    <w:rsid w:val="00F362B4"/>
    <w:rsid w:val="00F36BF4"/>
    <w:rsid w:val="00F37557"/>
    <w:rsid w:val="00F50964"/>
    <w:rsid w:val="00F522F5"/>
    <w:rsid w:val="00F52FE8"/>
    <w:rsid w:val="00F54B4B"/>
    <w:rsid w:val="00F56748"/>
    <w:rsid w:val="00F57710"/>
    <w:rsid w:val="00F6214D"/>
    <w:rsid w:val="00F657B9"/>
    <w:rsid w:val="00F66394"/>
    <w:rsid w:val="00F66E78"/>
    <w:rsid w:val="00F73414"/>
    <w:rsid w:val="00F758A3"/>
    <w:rsid w:val="00F76644"/>
    <w:rsid w:val="00F77049"/>
    <w:rsid w:val="00F80DD6"/>
    <w:rsid w:val="00F80F51"/>
    <w:rsid w:val="00F85101"/>
    <w:rsid w:val="00F8732E"/>
    <w:rsid w:val="00F90F20"/>
    <w:rsid w:val="00F91ED8"/>
    <w:rsid w:val="00F96275"/>
    <w:rsid w:val="00F97B93"/>
    <w:rsid w:val="00FA2AF5"/>
    <w:rsid w:val="00FA393B"/>
    <w:rsid w:val="00FA6098"/>
    <w:rsid w:val="00FA61D7"/>
    <w:rsid w:val="00FA7F9E"/>
    <w:rsid w:val="00FB0EFF"/>
    <w:rsid w:val="00FB219F"/>
    <w:rsid w:val="00FB2C10"/>
    <w:rsid w:val="00FB38BA"/>
    <w:rsid w:val="00FB39A1"/>
    <w:rsid w:val="00FB786D"/>
    <w:rsid w:val="00FB7E0B"/>
    <w:rsid w:val="00FC25EA"/>
    <w:rsid w:val="00FC6BDE"/>
    <w:rsid w:val="00FD0CE5"/>
    <w:rsid w:val="00FD1B15"/>
    <w:rsid w:val="00FD2CF6"/>
    <w:rsid w:val="00FD344A"/>
    <w:rsid w:val="00FD38FE"/>
    <w:rsid w:val="00FD4C89"/>
    <w:rsid w:val="00FD7AE9"/>
    <w:rsid w:val="00FE04F9"/>
    <w:rsid w:val="00FE1EEB"/>
    <w:rsid w:val="00FE203E"/>
    <w:rsid w:val="00FE478D"/>
    <w:rsid w:val="00FF3B17"/>
    <w:rsid w:val="00FF3E7C"/>
    <w:rsid w:val="00FF6110"/>
    <w:rsid w:val="00FF74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pPr>
      <w:keepNext/>
      <w:pBdr>
        <w:top w:val="single" w:sz="4" w:space="1" w:color="auto"/>
        <w:left w:val="single" w:sz="4" w:space="4" w:color="auto"/>
        <w:right w:val="single" w:sz="4" w:space="4" w:color="auto"/>
      </w:pBdr>
      <w:tabs>
        <w:tab w:val="left" w:pos="-1843"/>
        <w:tab w:val="left" w:pos="1276"/>
        <w:tab w:val="left" w:pos="2070"/>
        <w:tab w:val="left" w:pos="6804"/>
        <w:tab w:val="left" w:pos="8647"/>
      </w:tabs>
      <w:spacing w:line="336" w:lineRule="auto"/>
      <w:ind w:right="113"/>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after="120" w:line="360" w:lineRule="auto"/>
      <w:ind w:right="3855"/>
      <w:outlineLvl w:val="1"/>
    </w:pPr>
    <w:rPr>
      <w:rFonts w:ascii="Arial" w:hAnsi="Arial" w:cs="Arial"/>
      <w:b/>
      <w:bCs/>
      <w:sz w:val="22"/>
      <w:szCs w:val="22"/>
      <w:u w:val="single"/>
    </w:rPr>
  </w:style>
  <w:style w:type="paragraph" w:styleId="berschrift3">
    <w:name w:val="heading 3"/>
    <w:basedOn w:val="Standard"/>
    <w:next w:val="Standard"/>
    <w:link w:val="berschrift3Zchn"/>
    <w:uiPriority w:val="99"/>
    <w:qFormat/>
    <w:pPr>
      <w:keepNext/>
      <w:spacing w:after="120" w:line="360" w:lineRule="auto"/>
      <w:ind w:right="3005"/>
      <w:outlineLvl w:val="2"/>
    </w:pPr>
    <w:rPr>
      <w:rFonts w:ascii="Arial" w:hAnsi="Arial" w:cs="Arial"/>
      <w:b/>
      <w:bCs/>
      <w:sz w:val="22"/>
      <w:szCs w:val="22"/>
      <w:u w:val="single"/>
    </w:rPr>
  </w:style>
  <w:style w:type="paragraph" w:styleId="berschrift4">
    <w:name w:val="heading 4"/>
    <w:basedOn w:val="Standard"/>
    <w:next w:val="Standard"/>
    <w:link w:val="berschrift4Zchn"/>
    <w:uiPriority w:val="99"/>
    <w:qFormat/>
    <w:pPr>
      <w:keepNext/>
      <w:spacing w:line="360" w:lineRule="auto"/>
      <w:ind w:right="3005"/>
      <w:outlineLvl w:val="3"/>
    </w:pPr>
    <w:rPr>
      <w:rFonts w:ascii="Arial" w:hAnsi="Arial" w:cs="Arial"/>
      <w:sz w:val="22"/>
      <w:szCs w:val="22"/>
      <w:u w:val="single"/>
    </w:rPr>
  </w:style>
  <w:style w:type="paragraph" w:styleId="berschrift5">
    <w:name w:val="heading 5"/>
    <w:basedOn w:val="Standard"/>
    <w:next w:val="Standard"/>
    <w:link w:val="berschrift5Zchn"/>
    <w:uiPriority w:val="99"/>
    <w:qFormat/>
    <w:pPr>
      <w:keepNext/>
      <w:tabs>
        <w:tab w:val="left" w:pos="6521"/>
      </w:tabs>
      <w:spacing w:line="360" w:lineRule="auto"/>
      <w:ind w:right="2267"/>
      <w:outlineLvl w:val="4"/>
    </w:pPr>
    <w:rPr>
      <w:rFonts w:ascii="Arial" w:hAnsi="Arial" w:cs="Arial"/>
      <w:b/>
      <w:bCs/>
      <w:sz w:val="22"/>
      <w:szCs w:val="22"/>
    </w:rPr>
  </w:style>
  <w:style w:type="paragraph" w:styleId="berschrift6">
    <w:name w:val="heading 6"/>
    <w:basedOn w:val="Standard"/>
    <w:next w:val="Standard"/>
    <w:link w:val="berschrift6Zchn"/>
    <w:uiPriority w:val="99"/>
    <w:qFormat/>
    <w:pPr>
      <w:keepNext/>
      <w:tabs>
        <w:tab w:val="left" w:pos="580"/>
      </w:tabs>
      <w:spacing w:line="360" w:lineRule="auto"/>
      <w:ind w:right="-28"/>
      <w:outlineLvl w:val="5"/>
    </w:pPr>
    <w:rPr>
      <w:rFonts w:ascii="Arial" w:hAnsi="Arial" w:cs="Arial"/>
      <w:sz w:val="22"/>
      <w:szCs w:val="22"/>
      <w:u w:val="single"/>
    </w:rPr>
  </w:style>
  <w:style w:type="paragraph" w:styleId="berschrift7">
    <w:name w:val="heading 7"/>
    <w:basedOn w:val="Standard"/>
    <w:next w:val="Standard"/>
    <w:link w:val="berschrift7Zchn"/>
    <w:uiPriority w:val="99"/>
    <w:qFormat/>
    <w:pPr>
      <w:keepNext/>
      <w:tabs>
        <w:tab w:val="left" w:pos="580"/>
      </w:tabs>
      <w:spacing w:line="360" w:lineRule="auto"/>
      <w:ind w:right="-28"/>
      <w:outlineLvl w:val="6"/>
    </w:pPr>
    <w:rPr>
      <w:rFonts w:ascii="Arial" w:hAnsi="Arial" w:cs="Arial"/>
      <w:b/>
      <w:bCs/>
      <w:sz w:val="22"/>
      <w:szCs w:val="22"/>
    </w:rPr>
  </w:style>
  <w:style w:type="paragraph" w:styleId="berschrift8">
    <w:name w:val="heading 8"/>
    <w:basedOn w:val="Standard"/>
    <w:next w:val="Standard"/>
    <w:link w:val="berschrift8Zchn"/>
    <w:uiPriority w:val="99"/>
    <w:qFormat/>
    <w:pPr>
      <w:keepNext/>
      <w:tabs>
        <w:tab w:val="left" w:pos="6521"/>
      </w:tabs>
      <w:spacing w:line="360" w:lineRule="auto"/>
      <w:ind w:right="2267"/>
      <w:outlineLvl w:val="7"/>
    </w:pPr>
    <w:rPr>
      <w:rFonts w:ascii="Arial" w:hAnsi="Arial" w:cs="Arial"/>
      <w:sz w:val="22"/>
      <w:szCs w:val="22"/>
      <w:u w:val="single"/>
    </w:rPr>
  </w:style>
  <w:style w:type="paragraph" w:styleId="berschrift9">
    <w:name w:val="heading 9"/>
    <w:basedOn w:val="Standard"/>
    <w:next w:val="Standard"/>
    <w:link w:val="berschrift9Zchn"/>
    <w:uiPriority w:val="99"/>
    <w:qFormat/>
    <w:pPr>
      <w:keepNext/>
      <w:outlineLvl w:val="8"/>
    </w:pPr>
    <w:rPr>
      <w:rFonts w:ascii="Arial" w:hAnsi="Arial" w:cs="Arial"/>
      <w:b/>
      <w:bCs/>
      <w:color w:val="FF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character" w:styleId="Kommentarzeichen">
    <w:name w:val="annotation reference"/>
    <w:basedOn w:val="Absatz-Standardschriftart"/>
    <w:uiPriority w:val="99"/>
    <w:semiHidden/>
    <w:rPr>
      <w:rFonts w:cs="Times New Roman"/>
      <w:sz w:val="16"/>
      <w:szCs w:val="16"/>
    </w:rPr>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paragraph" w:styleId="Kommentartext">
    <w:name w:val="annotation text"/>
    <w:basedOn w:val="Standard"/>
    <w:link w:val="KommentartextZchn"/>
    <w:uiPriority w:val="99"/>
    <w:semiHidden/>
  </w:style>
  <w:style w:type="paragraph" w:customStyle="1" w:styleId="Flietext">
    <w:name w:val="Fließtext"/>
    <w:uiPriority w:val="99"/>
    <w:pPr>
      <w:tabs>
        <w:tab w:val="left" w:pos="283"/>
      </w:tabs>
      <w:autoSpaceDE w:val="0"/>
      <w:autoSpaceDN w:val="0"/>
      <w:spacing w:after="0" w:line="230" w:lineRule="atLeast"/>
      <w:jc w:val="both"/>
    </w:pPr>
    <w:rPr>
      <w:rFonts w:ascii="Times" w:hAnsi="Times" w:cs="Times"/>
      <w:color w:val="000000"/>
      <w:sz w:val="19"/>
      <w:szCs w:val="19"/>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customStyle="1" w:styleId="Zwischentext">
    <w:name w:val="Zwischentext"/>
    <w:basedOn w:val="Standard"/>
    <w:uiPriority w:val="99"/>
    <w:pPr>
      <w:spacing w:line="230" w:lineRule="atLeast"/>
      <w:jc w:val="center"/>
    </w:pPr>
    <w:rPr>
      <w:rFonts w:ascii="O Futura BookOblique" w:hAnsi="O Futura BookOblique" w:cs="O Futura BookOblique"/>
      <w:color w:val="00000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rPr>
  </w:style>
  <w:style w:type="character" w:styleId="Seitenzahl">
    <w:name w:val="page number"/>
    <w:basedOn w:val="Absatz-Standardschriftart"/>
    <w:uiPriority w:val="99"/>
    <w:rPr>
      <w:rFonts w:cs="Times New Roman"/>
    </w:rPr>
  </w:style>
  <w:style w:type="character" w:customStyle="1" w:styleId="FuzeileZchn">
    <w:name w:val="Fußzeile Zchn"/>
    <w:basedOn w:val="Absatz-Standardschriftart"/>
    <w:link w:val="Fuzeile"/>
    <w:uiPriority w:val="99"/>
    <w:semiHidden/>
    <w:locked/>
    <w:rPr>
      <w:rFonts w:cs="Times New Roman"/>
      <w:sz w:val="20"/>
      <w:szCs w:val="20"/>
    </w:rPr>
  </w:style>
  <w:style w:type="paragraph" w:customStyle="1" w:styleId="So">
    <w:name w:val="So"/>
    <w:basedOn w:val="Flietext"/>
    <w:uiPriority w:val="99"/>
    <w:pPr>
      <w:spacing w:line="360" w:lineRule="auto"/>
      <w:jc w:val="left"/>
    </w:pPr>
    <w:rPr>
      <w:rFonts w:ascii="Arial" w:hAnsi="Arial" w:cs="Arial"/>
      <w:sz w:val="22"/>
      <w:szCs w:val="22"/>
    </w:rPr>
  </w:style>
  <w:style w:type="paragraph" w:styleId="Textkrper2">
    <w:name w:val="Body Text 2"/>
    <w:basedOn w:val="Standard"/>
    <w:link w:val="Textkrper2Zchn"/>
    <w:uiPriority w:val="99"/>
    <w:rPr>
      <w:rFonts w:ascii="Arial" w:hAnsi="Arial" w:cs="Arial"/>
      <w:i/>
      <w:iCs/>
      <w:sz w:val="22"/>
      <w:szCs w:val="22"/>
    </w:rPr>
  </w:style>
  <w:style w:type="paragraph" w:styleId="Textkrper">
    <w:name w:val="Body Text"/>
    <w:basedOn w:val="Standard"/>
    <w:link w:val="TextkrperZchn"/>
    <w:uiPriority w:val="99"/>
    <w:pPr>
      <w:spacing w:line="360" w:lineRule="auto"/>
    </w:pPr>
    <w:rPr>
      <w:rFonts w:ascii="Arial" w:hAnsi="Arial" w:cs="Arial"/>
      <w:b/>
      <w:bCs/>
      <w:sz w:val="24"/>
      <w:szCs w:val="24"/>
    </w:rPr>
  </w:style>
  <w:style w:type="character" w:customStyle="1" w:styleId="Textkrper2Zchn">
    <w:name w:val="Textkörper 2 Zchn"/>
    <w:basedOn w:val="Absatz-Standardschriftart"/>
    <w:link w:val="Textkrper2"/>
    <w:uiPriority w:val="99"/>
    <w:locked/>
    <w:rPr>
      <w:rFonts w:cs="Times New Roman"/>
      <w:sz w:val="20"/>
      <w:szCs w:val="20"/>
    </w:rPr>
  </w:style>
  <w:style w:type="paragraph" w:styleId="NurText">
    <w:name w:val="Plain Text"/>
    <w:basedOn w:val="Standard"/>
    <w:link w:val="NurTextZchn"/>
    <w:uiPriority w:val="99"/>
    <w:rPr>
      <w:rFonts w:ascii="Courier New" w:hAnsi="Courier New" w:cs="Courier New"/>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Textkrper3">
    <w:name w:val="Body Text 3"/>
    <w:basedOn w:val="Standard"/>
    <w:link w:val="Textkrper3Zchn"/>
    <w:uiPriority w:val="99"/>
    <w:pPr>
      <w:spacing w:after="120" w:line="360" w:lineRule="auto"/>
      <w:ind w:right="1701"/>
      <w:jc w:val="both"/>
    </w:pPr>
    <w:rPr>
      <w:rFonts w:ascii="Arial" w:hAnsi="Arial" w:cs="Arial"/>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Blocktext">
    <w:name w:val="Block Text"/>
    <w:basedOn w:val="Standard"/>
    <w:uiPriority w:val="99"/>
    <w:pPr>
      <w:widowControl w:val="0"/>
      <w:tabs>
        <w:tab w:val="left" w:pos="580"/>
      </w:tabs>
      <w:spacing w:line="360" w:lineRule="auto"/>
      <w:ind w:left="79" w:right="2200"/>
    </w:pPr>
    <w:rPr>
      <w:rFonts w:ascii="Futura Book" w:hAnsi="Futura Book" w:cs="Futura Book"/>
      <w:sz w:val="24"/>
      <w:szCs w:val="24"/>
    </w:rPr>
  </w:style>
  <w:style w:type="character" w:customStyle="1" w:styleId="Textkrper3Zchn">
    <w:name w:val="Textkörper 3 Zchn"/>
    <w:basedOn w:val="Absatz-Standardschriftart"/>
    <w:link w:val="Textkrper3"/>
    <w:uiPriority w:val="99"/>
    <w:semiHidden/>
    <w:locked/>
    <w:rPr>
      <w:rFonts w:cs="Times New Roman"/>
      <w:sz w:val="16"/>
      <w:szCs w:val="16"/>
    </w:rPr>
  </w:style>
  <w:style w:type="character" w:styleId="Hyperlink">
    <w:name w:val="Hyperlink"/>
    <w:basedOn w:val="Absatz-Standardschriftart"/>
    <w:uiPriority w:val="99"/>
    <w:rPr>
      <w:rFonts w:cs="Times New Roman"/>
      <w:color w:val="0000FF"/>
      <w:u w:val="single"/>
    </w:rPr>
  </w:style>
  <w:style w:type="character" w:styleId="BesuchterHyperlink">
    <w:name w:val="FollowedHyperlink"/>
    <w:basedOn w:val="Absatz-Standardschriftart"/>
    <w:uiPriority w:val="99"/>
    <w:rPr>
      <w:rFonts w:cs="Times New Roman"/>
      <w:color w:val="800080"/>
      <w:u w:val="single"/>
    </w:rPr>
  </w:style>
  <w:style w:type="paragraph" w:styleId="Textkrper-Zeileneinzug">
    <w:name w:val="Body Text Indent"/>
    <w:basedOn w:val="Standard"/>
    <w:link w:val="Textkrper-ZeileneinzugZchn"/>
    <w:uiPriority w:val="99"/>
    <w:pPr>
      <w:spacing w:after="120"/>
      <w:ind w:left="283"/>
    </w:pPr>
  </w:style>
  <w:style w:type="paragraph" w:styleId="Dokumentstruktur">
    <w:name w:val="Document Map"/>
    <w:basedOn w:val="Standard"/>
    <w:link w:val="DokumentstrukturZchn"/>
    <w:uiPriority w:val="99"/>
    <w:semiHidden/>
    <w:pPr>
      <w:shd w:val="clear" w:color="auto" w:fill="000080"/>
    </w:pPr>
    <w:rPr>
      <w:rFonts w:ascii="Tahoma" w:hAnsi="Tahoma" w:cs="Tahoma"/>
    </w:r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paragraph" w:styleId="Kommentarthema">
    <w:name w:val="annotation subject"/>
    <w:basedOn w:val="Kommentartext"/>
    <w:next w:val="Kommentartext"/>
    <w:link w:val="KommentarthemaZchn"/>
    <w:uiPriority w:val="99"/>
    <w:semiHidden/>
    <w:rsid w:val="00366946"/>
    <w:rPr>
      <w:b/>
      <w:bCs/>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Funotentext">
    <w:name w:val="footnote text"/>
    <w:basedOn w:val="Standard"/>
    <w:link w:val="FunotentextZchn"/>
    <w:uiPriority w:val="99"/>
    <w:semiHidden/>
    <w:unhideWhenUsed/>
    <w:rsid w:val="00C641AD"/>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character" w:styleId="Funotenzeichen">
    <w:name w:val="footnote reference"/>
    <w:basedOn w:val="Absatz-Standardschriftart"/>
    <w:uiPriority w:val="99"/>
    <w:semiHidden/>
    <w:unhideWhenUsed/>
    <w:rsid w:val="00C641AD"/>
    <w:rPr>
      <w:rFonts w:cs="Times New Roman"/>
      <w:vertAlign w:val="superscript"/>
    </w:rPr>
  </w:style>
  <w:style w:type="character" w:customStyle="1" w:styleId="FunotentextZchn">
    <w:name w:val="Fußnotentext Zchn"/>
    <w:basedOn w:val="Absatz-Standardschriftart"/>
    <w:link w:val="Funotentext"/>
    <w:uiPriority w:val="99"/>
    <w:semiHidden/>
    <w:locked/>
    <w:rsid w:val="00C641AD"/>
    <w:rPr>
      <w:rFonts w:cs="Times New Roman"/>
      <w:sz w:val="20"/>
      <w:szCs w:val="20"/>
    </w:rPr>
  </w:style>
  <w:style w:type="paragraph" w:styleId="Listenabsatz">
    <w:name w:val="List Paragraph"/>
    <w:basedOn w:val="Standard"/>
    <w:uiPriority w:val="34"/>
    <w:qFormat/>
    <w:rsid w:val="00A775BA"/>
    <w:pPr>
      <w:autoSpaceDE/>
      <w:autoSpaceDN/>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1868">
      <w:marLeft w:val="0"/>
      <w:marRight w:val="0"/>
      <w:marTop w:val="0"/>
      <w:marBottom w:val="0"/>
      <w:divBdr>
        <w:top w:val="none" w:sz="0" w:space="0" w:color="auto"/>
        <w:left w:val="none" w:sz="0" w:space="0" w:color="auto"/>
        <w:bottom w:val="none" w:sz="0" w:space="0" w:color="auto"/>
        <w:right w:val="none" w:sz="0" w:space="0" w:color="auto"/>
      </w:divBdr>
      <w:divsChild>
        <w:div w:id="922951862">
          <w:marLeft w:val="274"/>
          <w:marRight w:val="0"/>
          <w:marTop w:val="240"/>
          <w:marBottom w:val="0"/>
          <w:divBdr>
            <w:top w:val="none" w:sz="0" w:space="0" w:color="auto"/>
            <w:left w:val="none" w:sz="0" w:space="0" w:color="auto"/>
            <w:bottom w:val="none" w:sz="0" w:space="0" w:color="auto"/>
            <w:right w:val="none" w:sz="0" w:space="0" w:color="auto"/>
          </w:divBdr>
        </w:div>
        <w:div w:id="922951863">
          <w:marLeft w:val="274"/>
          <w:marRight w:val="0"/>
          <w:marTop w:val="240"/>
          <w:marBottom w:val="0"/>
          <w:divBdr>
            <w:top w:val="none" w:sz="0" w:space="0" w:color="auto"/>
            <w:left w:val="none" w:sz="0" w:space="0" w:color="auto"/>
            <w:bottom w:val="none" w:sz="0" w:space="0" w:color="auto"/>
            <w:right w:val="none" w:sz="0" w:space="0" w:color="auto"/>
          </w:divBdr>
        </w:div>
        <w:div w:id="922951864">
          <w:marLeft w:val="274"/>
          <w:marRight w:val="0"/>
          <w:marTop w:val="240"/>
          <w:marBottom w:val="0"/>
          <w:divBdr>
            <w:top w:val="none" w:sz="0" w:space="0" w:color="auto"/>
            <w:left w:val="none" w:sz="0" w:space="0" w:color="auto"/>
            <w:bottom w:val="none" w:sz="0" w:space="0" w:color="auto"/>
            <w:right w:val="none" w:sz="0" w:space="0" w:color="auto"/>
          </w:divBdr>
        </w:div>
        <w:div w:id="922951865">
          <w:marLeft w:val="274"/>
          <w:marRight w:val="0"/>
          <w:marTop w:val="240"/>
          <w:marBottom w:val="0"/>
          <w:divBdr>
            <w:top w:val="none" w:sz="0" w:space="0" w:color="auto"/>
            <w:left w:val="none" w:sz="0" w:space="0" w:color="auto"/>
            <w:bottom w:val="none" w:sz="0" w:space="0" w:color="auto"/>
            <w:right w:val="none" w:sz="0" w:space="0" w:color="auto"/>
          </w:divBdr>
        </w:div>
        <w:div w:id="922951866">
          <w:marLeft w:val="274"/>
          <w:marRight w:val="0"/>
          <w:marTop w:val="240"/>
          <w:marBottom w:val="0"/>
          <w:divBdr>
            <w:top w:val="none" w:sz="0" w:space="0" w:color="auto"/>
            <w:left w:val="none" w:sz="0" w:space="0" w:color="auto"/>
            <w:bottom w:val="none" w:sz="0" w:space="0" w:color="auto"/>
            <w:right w:val="none" w:sz="0" w:space="0" w:color="auto"/>
          </w:divBdr>
        </w:div>
        <w:div w:id="922951867">
          <w:marLeft w:val="274"/>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a.com/investor-relations/berichte/berichte-20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FC16-1C23-4B38-9794-FF025E60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2530</Words>
  <Characters>13232</Characters>
  <Application>Microsoft Office Word</Application>
  <DocSecurity>0</DocSecurity>
  <Lines>110</Lines>
  <Paragraphs>31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_K</vt:lpstr>
      <vt:lpstr>_K</vt:lpstr>
    </vt:vector>
  </TitlesOfParts>
  <Company>KBA Würzburg</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_K</dc:title>
  <dc:creator>Jessica Gladisch</dc:creator>
  <cp:lastModifiedBy>Bausenwein, Linda (VMC)</cp:lastModifiedBy>
  <cp:revision>6</cp:revision>
  <cp:lastPrinted>2015-03-13T15:41:00Z</cp:lastPrinted>
  <dcterms:created xsi:type="dcterms:W3CDTF">2015-03-19T09:03:00Z</dcterms:created>
  <dcterms:modified xsi:type="dcterms:W3CDTF">2015-03-20T06:08:00Z</dcterms:modified>
</cp:coreProperties>
</file>