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Communiqué de presse</w:t>
      </w:r>
    </w:p>
    <w:p w:rsidR="00DD5DF4" w:rsidRDefault="00D14DC1" w:rsidP="00D14DC1">
      <w:pPr>
        <w:pStyle w:val="Untertitel"/>
        <w:spacing w:after="240"/>
        <w:rPr>
          <w:rFonts w:asciiTheme="majorHAnsi" w:eastAsiaTheme="majorEastAsia" w:hAnsiTheme="majorHAnsi" w:cstheme="majorBidi"/>
          <w:b/>
          <w:bCs/>
          <w:spacing w:val="0"/>
          <w:sz w:val="40"/>
          <w:szCs w:val="40"/>
        </w:rPr>
      </w:pPr>
      <w:r>
        <w:rPr>
          <w:rFonts w:asciiTheme="majorHAnsi" w:hAnsiTheme="majorHAnsi"/>
          <w:b/>
          <w:bCs/>
          <w:sz w:val="40"/>
          <w:szCs w:val="40"/>
        </w:rPr>
        <w:t xml:space="preserve">Partenariat gagnant pour Koenig &amp; Bauer et </w:t>
      </w:r>
      <w:proofErr w:type="spellStart"/>
      <w:r>
        <w:rPr>
          <w:rFonts w:asciiTheme="majorHAnsi" w:hAnsiTheme="majorHAnsi"/>
          <w:b/>
          <w:bCs/>
          <w:sz w:val="40"/>
          <w:szCs w:val="40"/>
        </w:rPr>
        <w:t>Klingele</w:t>
      </w:r>
      <w:proofErr w:type="spellEnd"/>
      <w:r>
        <w:rPr>
          <w:rFonts w:asciiTheme="majorHAnsi" w:hAnsiTheme="majorHAnsi"/>
          <w:b/>
          <w:bCs/>
          <w:sz w:val="40"/>
          <w:szCs w:val="40"/>
        </w:rPr>
        <w:t xml:space="preserve"> </w:t>
      </w:r>
    </w:p>
    <w:p w:rsidR="00040486" w:rsidRPr="00040486" w:rsidRDefault="00D14DC1" w:rsidP="00040486">
      <w:pPr>
        <w:spacing w:after="240"/>
      </w:pPr>
      <w:r>
        <w:rPr>
          <w:color w:val="002355" w:themeColor="text2"/>
          <w:sz w:val="28"/>
          <w:szCs w:val="28"/>
        </w:rPr>
        <w:t xml:space="preserve">Réception usine de la </w:t>
      </w:r>
      <w:proofErr w:type="spellStart"/>
      <w:r>
        <w:rPr>
          <w:color w:val="002355" w:themeColor="text2"/>
          <w:sz w:val="28"/>
          <w:szCs w:val="28"/>
        </w:rPr>
        <w:t>CorruCUT</w:t>
      </w:r>
      <w:proofErr w:type="spellEnd"/>
      <w:r>
        <w:rPr>
          <w:color w:val="002355" w:themeColor="text2"/>
          <w:sz w:val="28"/>
          <w:szCs w:val="28"/>
        </w:rPr>
        <w:t xml:space="preserve"> à Wurtzbourg</w:t>
      </w:r>
    </w:p>
    <w:p w:rsidR="00DD5DF4" w:rsidRDefault="00BC3B7B" w:rsidP="00DD5DF4">
      <w:pPr>
        <w:pStyle w:val="AnstricheFlietextEbene1"/>
        <w:spacing w:after="60"/>
        <w:ind w:left="284" w:hanging="284"/>
      </w:pPr>
      <w:r>
        <w:t>Validation des essais de réception usine à Wurtzbourg</w:t>
      </w:r>
    </w:p>
    <w:p w:rsidR="00DD5DF4" w:rsidRDefault="00DD5DF4" w:rsidP="00DD5DF4">
      <w:pPr>
        <w:pStyle w:val="AnstricheFlietextEbene1"/>
        <w:spacing w:after="60"/>
        <w:ind w:left="284" w:hanging="284"/>
      </w:pPr>
      <w:r>
        <w:t>Automatisation élevée</w:t>
      </w:r>
    </w:p>
    <w:p w:rsidR="00DD5DF4" w:rsidRDefault="00BC3B7B" w:rsidP="00DD5DF4">
      <w:pPr>
        <w:pStyle w:val="AnstricheFlietextEbene1"/>
        <w:spacing w:after="60"/>
        <w:ind w:left="284" w:hanging="284"/>
      </w:pPr>
      <w:r>
        <w:t xml:space="preserve">Coopération avec le groupe </w:t>
      </w:r>
      <w:proofErr w:type="spellStart"/>
      <w:r>
        <w:t>Klingele</w:t>
      </w:r>
      <w:proofErr w:type="spellEnd"/>
    </w:p>
    <w:p w:rsidR="00DD5DF4" w:rsidRDefault="00BC3B7B" w:rsidP="00DD5DF4">
      <w:pPr>
        <w:pStyle w:val="AnstricheFlietextEbene1"/>
        <w:spacing w:after="60"/>
        <w:ind w:left="284" w:hanging="284"/>
      </w:pPr>
      <w:r>
        <w:t>Concentration sur les marchés de croissance</w:t>
      </w:r>
    </w:p>
    <w:p w:rsidR="00584EAD" w:rsidRPr="000B2321" w:rsidRDefault="00584EAD" w:rsidP="00584EAD">
      <w:pPr>
        <w:spacing w:after="240"/>
      </w:pPr>
    </w:p>
    <w:p w:rsidR="00D14DC1" w:rsidRDefault="00DD5DF4" w:rsidP="00DD5DF4">
      <w:pPr>
        <w:pStyle w:val="FlietextStandard"/>
      </w:pPr>
      <w:r>
        <w:t xml:space="preserve">Wurtzbourg / </w:t>
      </w:r>
      <w:proofErr w:type="spellStart"/>
      <w:r>
        <w:t>Remshalben</w:t>
      </w:r>
      <w:proofErr w:type="spellEnd"/>
      <w:r>
        <w:t xml:space="preserve">, le </w:t>
      </w:r>
      <w:r w:rsidR="000B2321">
        <w:t>08.08.</w:t>
      </w:r>
      <w:r>
        <w:t>2019</w:t>
      </w:r>
      <w:r>
        <w:br/>
        <w:t xml:space="preserve">Avec leur partenariat de développement, le groupe </w:t>
      </w:r>
      <w:proofErr w:type="spellStart"/>
      <w:r>
        <w:t>Klingele</w:t>
      </w:r>
      <w:proofErr w:type="spellEnd"/>
      <w:r>
        <w:t xml:space="preserve">, l’un des principaux fournisseurs indépendants de papiers bruts pour carton ondulé et d’emballages en ondulé, et Koenig &amp; Bauer, deuxième constructeur de machines d’impression du monde, définissent de nouveaux standards en matière de technologie d'impression pour l’emballage. La validation par </w:t>
      </w:r>
      <w:proofErr w:type="spellStart"/>
      <w:r>
        <w:t>Klingele</w:t>
      </w:r>
      <w:proofErr w:type="spellEnd"/>
      <w:r>
        <w:t xml:space="preserve"> des essais de réception usine de la </w:t>
      </w:r>
      <w:proofErr w:type="spellStart"/>
      <w:r>
        <w:t>CorruCUT</w:t>
      </w:r>
      <w:proofErr w:type="spellEnd"/>
      <w:r>
        <w:t xml:space="preserve">, une machine de découpe rotative High </w:t>
      </w:r>
      <w:proofErr w:type="spellStart"/>
      <w:r>
        <w:t>Board</w:t>
      </w:r>
      <w:proofErr w:type="spellEnd"/>
      <w:r>
        <w:t xml:space="preserve"> Line, à l’issue d’une phase de test du prototype, constitue une nouvelle étape clé pour les deux partenaires. Koenig &amp; Bauer a mis au point en étroite collaboration avec </w:t>
      </w:r>
      <w:proofErr w:type="spellStart"/>
      <w:r>
        <w:t>Klingele</w:t>
      </w:r>
      <w:proofErr w:type="spellEnd"/>
      <w:r>
        <w:t xml:space="preserve"> cette ligne 6 couleurs haute productivité entièrement nouvelle en l’adaptant aux exigences concrètes du marché et de la production. Le montage ainsi que la mise en service de la </w:t>
      </w:r>
      <w:proofErr w:type="spellStart"/>
      <w:r>
        <w:t>CorruCUT</w:t>
      </w:r>
      <w:proofErr w:type="spellEnd"/>
      <w:r>
        <w:t xml:space="preserve"> débuteront au mois d’août chez </w:t>
      </w:r>
      <w:proofErr w:type="spellStart"/>
      <w:r>
        <w:t>Klingele</w:t>
      </w:r>
      <w:proofErr w:type="spellEnd"/>
      <w:r>
        <w:t xml:space="preserve"> à Delmenhorst. La qualité, tant de la construction mécanique que celle de l’impression, de même que le concept de commande ont non seulement convaincu </w:t>
      </w:r>
      <w:proofErr w:type="spellStart"/>
      <w:r>
        <w:t>Klingele</w:t>
      </w:r>
      <w:proofErr w:type="spellEnd"/>
      <w:r>
        <w:t xml:space="preserve"> mais ont également suscité des réactions très positives de la part des professionnels de l’industrie de l’ondulé du monde entier en visite chez Koenig &amp; Bauer.</w:t>
      </w:r>
    </w:p>
    <w:p w:rsidR="00D14DC1" w:rsidRPr="00CC142F" w:rsidRDefault="00D14DC1" w:rsidP="00D14DC1">
      <w:pPr>
        <w:pStyle w:val="berschrift4"/>
      </w:pPr>
      <w:r>
        <w:t>Un bond en avant en matière de qualité et de performances</w:t>
      </w:r>
    </w:p>
    <w:p w:rsidR="00A02CCA" w:rsidRDefault="00A02CCA" w:rsidP="00A02CCA">
      <w:pPr>
        <w:pStyle w:val="FlietextStandard"/>
      </w:pPr>
      <w:r>
        <w:t xml:space="preserve">La qualité d’impression élevée alliée à la précision et aux meilleures performances du marché représentent une avancée notable de la technologie d'impression destinée au secteur de l’emballage. Avec cette nouvelle machine, </w:t>
      </w:r>
      <w:proofErr w:type="spellStart"/>
      <w:r>
        <w:t>Klingele</w:t>
      </w:r>
      <w:proofErr w:type="spellEnd"/>
      <w:r>
        <w:t xml:space="preserve"> cible les segments du marché de l’emballage demandeurs de graphismes de haute qualité et de sécurité du </w:t>
      </w:r>
      <w:proofErr w:type="spellStart"/>
      <w:r>
        <w:t>process</w:t>
      </w:r>
      <w:proofErr w:type="spellEnd"/>
      <w:r>
        <w:t xml:space="preserve"> : les grandes marques, bien entendu, mais aussi les fabricants de produits agro-alimentaires qui utilisent le conditionnement pour la PLV. </w:t>
      </w:r>
    </w:p>
    <w:p w:rsidR="00A02CCA" w:rsidRDefault="00A02CCA" w:rsidP="00A02CCA">
      <w:pPr>
        <w:pStyle w:val="FlietextStandard"/>
      </w:pPr>
      <w:r>
        <w:t xml:space="preserve">La nouvelle </w:t>
      </w:r>
      <w:proofErr w:type="spellStart"/>
      <w:r>
        <w:t>CorruCUT</w:t>
      </w:r>
      <w:proofErr w:type="spellEnd"/>
      <w:r>
        <w:t xml:space="preserve"> a été conçue pour répondre précisément à ces impératifs : en plus de son excellente qualité d’impression, elle assure un repérage d’une très grande précision pour l’impression comme pour la découpe, réduisant ainsi la gâche de manière significative pour une efficience accrue. Avec une largeur de travail de 2,80 mètres et 12 000 feuilles par heure, la </w:t>
      </w:r>
      <w:proofErr w:type="spellStart"/>
      <w:r>
        <w:t>CorruCUT</w:t>
      </w:r>
      <w:proofErr w:type="spellEnd"/>
      <w:r>
        <w:t xml:space="preserve"> affiche une </w:t>
      </w:r>
      <w:bookmarkStart w:id="0" w:name="_GoBack"/>
      <w:bookmarkEnd w:id="0"/>
      <w:r>
        <w:t xml:space="preserve">productivité record et facilite en outre la fabrication des packagings grand format. </w:t>
      </w:r>
    </w:p>
    <w:p w:rsidR="00A02CCA" w:rsidRDefault="00A02CCA" w:rsidP="00A02CCA">
      <w:pPr>
        <w:pStyle w:val="FlietextStandard"/>
      </w:pPr>
    </w:p>
    <w:p w:rsidR="00D14DC1" w:rsidRDefault="00A02CCA" w:rsidP="00A02CCA">
      <w:pPr>
        <w:pStyle w:val="FlietextStandard"/>
      </w:pPr>
      <w:r>
        <w:lastRenderedPageBreak/>
        <w:t xml:space="preserve">La </w:t>
      </w:r>
      <w:proofErr w:type="spellStart"/>
      <w:r>
        <w:t>CorruCUT</w:t>
      </w:r>
      <w:proofErr w:type="spellEnd"/>
      <w:r>
        <w:t xml:space="preserve"> est dotée d’un margeur sans arbre d'introduction qui assure l’engagement en douceur des feuilles. </w:t>
      </w:r>
      <w:r>
        <w:rPr>
          <w:color w:val="auto"/>
        </w:rPr>
        <w:t xml:space="preserve">Le guidage des feuilles sous vide dans la machine permet de réduire considérablement l’usure et de réduire ainsi les arrêts de même que les coûts de remplacement des pièces. </w:t>
      </w:r>
      <w:r>
        <w:t xml:space="preserve">Les analyses de données automatisées permettront la maintenance prédictive de manière à éviter les défaillances imprévues. </w:t>
      </w:r>
    </w:p>
    <w:p w:rsidR="00D14DC1" w:rsidRPr="00CC142F" w:rsidRDefault="00D14DC1" w:rsidP="00D14DC1">
      <w:pPr>
        <w:pStyle w:val="berschrift4"/>
      </w:pPr>
      <w:r>
        <w:t>Un partenariat gagnant-gagnant</w:t>
      </w:r>
    </w:p>
    <w:p w:rsidR="00A02CCA" w:rsidRDefault="00A02CCA" w:rsidP="00A02CCA">
      <w:pPr>
        <w:pStyle w:val="FlietextStandard"/>
      </w:pPr>
      <w:r>
        <w:t xml:space="preserve">Le partenariat de développement entre </w:t>
      </w:r>
      <w:proofErr w:type="spellStart"/>
      <w:r>
        <w:t>Klingele</w:t>
      </w:r>
      <w:proofErr w:type="spellEnd"/>
      <w:r>
        <w:t xml:space="preserve"> et Koenig &amp; Bauer est gagnant-gagnant : deuxième constructeur de machines à imprimer au monde, leader de nombreux procédés d'impression, Koenig &amp; Bauer propose également la gamme de produits la plus étendue. Grâce à son partenariat exclusif avec </w:t>
      </w:r>
      <w:proofErr w:type="spellStart"/>
      <w:r>
        <w:t>Klingele</w:t>
      </w:r>
      <w:proofErr w:type="spellEnd"/>
      <w:r>
        <w:t xml:space="preserve">, Koenig &amp; Bauer renforce son engagement sur le marché très dynamique des machines pour l’ondulé. Pour </w:t>
      </w:r>
      <w:proofErr w:type="spellStart"/>
      <w:r>
        <w:t>Klingele</w:t>
      </w:r>
      <w:proofErr w:type="spellEnd"/>
      <w:r>
        <w:t>, ce partenariat a permis la participation active dès le début à la conception de la nouvelle machine de découpe rotative afin d’assurer sa parfaite adéquation aux exigences du marché.</w:t>
      </w:r>
    </w:p>
    <w:p w:rsidR="00D14DC1" w:rsidRPr="00D14DC1" w:rsidRDefault="00A02CCA" w:rsidP="00A02CCA">
      <w:pPr>
        <w:pStyle w:val="FlietextStandard"/>
      </w:pPr>
      <w:r>
        <w:t xml:space="preserve">« Koenig &amp; Bauer a su parfaitement réaliser le concept et les innovations techniques. Les résultats que nous avons pu voir à Wurtzbourg nous ont convaincus », commente Jan </w:t>
      </w:r>
      <w:proofErr w:type="spellStart"/>
      <w:r>
        <w:t>Klingele</w:t>
      </w:r>
      <w:proofErr w:type="spellEnd"/>
      <w:r>
        <w:t xml:space="preserve">, associé-gérant du groupe </w:t>
      </w:r>
      <w:proofErr w:type="spellStart"/>
      <w:r>
        <w:t>Klingele</w:t>
      </w:r>
      <w:proofErr w:type="spellEnd"/>
      <w:r>
        <w:t xml:space="preserve">. Christoph Müller, membre du directoire de Koenig &amp; Bauer : « Ces deux dernières années, nous avons travaillé sans cesse à mettre sur pied une nouvelle équipe ainsi qu’à la conception de la machine. » La concentration sur les marchés de croissance comme l'impression d'emballages conventionnelle et numérique est au cœur de la stratégie de Koenig &amp; Bauer. </w:t>
      </w:r>
    </w:p>
    <w:p w:rsidR="00D14DC1" w:rsidRPr="00D14DC1" w:rsidRDefault="00D14DC1" w:rsidP="00D14DC1">
      <w:pPr>
        <w:spacing w:after="240"/>
      </w:pPr>
    </w:p>
    <w:p w:rsidR="00DD5DF4" w:rsidRPr="000304BD" w:rsidRDefault="00DD5DF4" w:rsidP="00DD5DF4">
      <w:pPr>
        <w:pStyle w:val="berschrift4"/>
      </w:pPr>
      <w:proofErr w:type="spellStart"/>
      <w:r>
        <w:t>Foto</w:t>
      </w:r>
      <w:proofErr w:type="spellEnd"/>
      <w:r>
        <w:t xml:space="preserve"> 1: </w:t>
      </w:r>
    </w:p>
    <w:p w:rsidR="00DD5DF4" w:rsidRDefault="00E7320B" w:rsidP="00DD5DF4">
      <w:pPr>
        <w:pStyle w:val="FlietextStandard"/>
        <w:rPr>
          <w:rStyle w:val="Hervorhebung"/>
          <w:b w:val="0"/>
          <w:iCs w:val="0"/>
        </w:rPr>
      </w:pPr>
      <w:r>
        <w:rPr>
          <w:rStyle w:val="Hervorhebung"/>
          <w:b w:val="0"/>
          <w:iCs w:val="0"/>
        </w:rPr>
        <w:t xml:space="preserve">Le montage ainsi que la mise en service de la </w:t>
      </w:r>
      <w:proofErr w:type="spellStart"/>
      <w:r>
        <w:rPr>
          <w:rStyle w:val="Hervorhebung"/>
          <w:b w:val="0"/>
          <w:iCs w:val="0"/>
        </w:rPr>
        <w:t>CorruCUT</w:t>
      </w:r>
      <w:proofErr w:type="spellEnd"/>
      <w:r>
        <w:rPr>
          <w:rStyle w:val="Hervorhebung"/>
          <w:b w:val="0"/>
          <w:iCs w:val="0"/>
        </w:rPr>
        <w:t xml:space="preserve"> débuteront au mois d’août chez </w:t>
      </w:r>
      <w:proofErr w:type="spellStart"/>
      <w:r>
        <w:rPr>
          <w:rStyle w:val="Hervorhebung"/>
          <w:b w:val="0"/>
          <w:iCs w:val="0"/>
        </w:rPr>
        <w:t>Klingele</w:t>
      </w:r>
      <w:proofErr w:type="spellEnd"/>
      <w:r>
        <w:rPr>
          <w:rStyle w:val="Hervorhebung"/>
          <w:b w:val="0"/>
          <w:iCs w:val="0"/>
        </w:rPr>
        <w:t xml:space="preserve"> à Delmenhorst. </w:t>
      </w:r>
    </w:p>
    <w:p w:rsidR="00D14DC1" w:rsidRPr="001047E1" w:rsidRDefault="00D14DC1" w:rsidP="00DD5DF4">
      <w:pPr>
        <w:pStyle w:val="FlietextStandard"/>
        <w:rPr>
          <w:rStyle w:val="Hervorhebung"/>
          <w:b w:val="0"/>
          <w:iCs w:val="0"/>
        </w:rPr>
      </w:pPr>
    </w:p>
    <w:p w:rsidR="00D14DC1" w:rsidRPr="00CC142F" w:rsidRDefault="00D14DC1" w:rsidP="00D14DC1">
      <w:pPr>
        <w:pStyle w:val="berschrift4"/>
      </w:pPr>
      <w:r>
        <w:t xml:space="preserve">À propos de </w:t>
      </w:r>
      <w:proofErr w:type="spellStart"/>
      <w:r>
        <w:t>Klingele</w:t>
      </w:r>
      <w:proofErr w:type="spellEnd"/>
      <w:r>
        <w:t xml:space="preserve"> </w:t>
      </w:r>
    </w:p>
    <w:p w:rsidR="00DD5DF4" w:rsidRDefault="00D14DC1" w:rsidP="00D14DC1">
      <w:pPr>
        <w:pStyle w:val="FlietextStandard"/>
      </w:pPr>
      <w:r>
        <w:t xml:space="preserve">Le groupe </w:t>
      </w:r>
      <w:proofErr w:type="spellStart"/>
      <w:r>
        <w:t>Klingele</w:t>
      </w:r>
      <w:proofErr w:type="spellEnd"/>
      <w:r>
        <w:t xml:space="preserve"> est un fabricant de papier, solutions d’emballage en ondulé et colles présent à l’international. L’entreprise familiale fondée en 1920, implantée à </w:t>
      </w:r>
      <w:proofErr w:type="spellStart"/>
      <w:r>
        <w:t>Remshalden</w:t>
      </w:r>
      <w:proofErr w:type="spellEnd"/>
      <w:r>
        <w:t xml:space="preserve"> près de Stuttgart, est dirigée par Jan </w:t>
      </w:r>
      <w:proofErr w:type="spellStart"/>
      <w:r>
        <w:t>Klingele</w:t>
      </w:r>
      <w:proofErr w:type="spellEnd"/>
      <w:r>
        <w:t xml:space="preserve">, qui représente la troisième génération. Elle est présente en Europe, en Afrique et en Amérique centrale dans les secteurs du papier et de l’emballage, y compris par le biais de participations, avec deux usines de papier, douze usines de carton ondulé, huit sites de transformation et une usine de plaques au format en ondulé. Au total, les effectifs s’élèvent à 2 500 salariés qui ont généré en 2018 un chiffre d'affaires de 860 M€. L’éventail de produits comprend les papiers bruts pour carton ondulé à base de vieux papier, le carton ondulé en plaques ainsi que des solutions d’emballage innovantes et durables (essentiellement en ondulé) pour divers secteurs et applications. </w:t>
      </w:r>
      <w:proofErr w:type="spellStart"/>
      <w:r>
        <w:t>Klingele</w:t>
      </w:r>
      <w:proofErr w:type="spellEnd"/>
      <w:r>
        <w:t xml:space="preserve"> est par ailleurs membre fondateur de Blue Box </w:t>
      </w:r>
      <w:proofErr w:type="spellStart"/>
      <w:r>
        <w:t>Partners</w:t>
      </w:r>
      <w:proofErr w:type="spellEnd"/>
      <w:r>
        <w:t>, principale alliance pan-européenne pour la fourniture de solutions d’emballages.</w:t>
      </w:r>
    </w:p>
    <w:p w:rsidR="00D14DC1" w:rsidRPr="00CC142F" w:rsidRDefault="00D14DC1" w:rsidP="00D14DC1">
      <w:pPr>
        <w:pStyle w:val="berschrift4"/>
      </w:pPr>
      <w:r>
        <w:t>À propos de Koenig &amp; Bauer</w:t>
      </w:r>
    </w:p>
    <w:p w:rsidR="00DA6A98" w:rsidRDefault="00D14DC1" w:rsidP="00D14DC1">
      <w:pPr>
        <w:pStyle w:val="FlietextStandard"/>
      </w:pPr>
      <w:r>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lastRenderedPageBreak/>
        <w:t>flexo</w:t>
      </w:r>
      <w:proofErr w:type="spellEnd"/>
      <w:r>
        <w:t xml:space="preserve"> feuilles et bobine, offset sans eau, taille-douce, impression simultanée et sérigraphie ou jet d’encre numérique pour une multitude d’applications aussi variées que l'impression de billets de banque ou l’emballage carton, film plastique, métal et verre, l'impression de livres, magazines et journaux en passant par la publicité sous toutes ses formes, la PLV, et le marquage. En 2018, les quelque 5 700 collaboratrices et collaborateurs hautement qualifiés ont généré un chiffre d’affaires annuel de plus de 1,2 milliard d’euros. Pour plus d'informations, consulter www.koenig-bauer.com</w:t>
      </w:r>
    </w:p>
    <w:p w:rsidR="00DA6A98" w:rsidRPr="00B27EFC" w:rsidRDefault="00DA6A98" w:rsidP="00DD5DF4">
      <w:pPr>
        <w:pStyle w:val="FlietextStandard"/>
      </w:pPr>
    </w:p>
    <w:p w:rsidR="00DD5DF4" w:rsidRPr="000304BD" w:rsidRDefault="00DD5DF4" w:rsidP="00DD5DF4">
      <w:pPr>
        <w:pStyle w:val="berschrift4"/>
        <w:rPr>
          <w:rStyle w:val="Hervorhebung"/>
          <w:rFonts w:asciiTheme="majorHAnsi" w:hAnsiTheme="majorHAnsi" w:cstheme="majorBidi"/>
          <w:b/>
          <w:iCs/>
        </w:rPr>
      </w:pPr>
      <w:r>
        <w:rPr>
          <w:rStyle w:val="Hervorhebung"/>
          <w:rFonts w:asciiTheme="majorHAnsi" w:hAnsiTheme="majorHAnsi"/>
          <w:b/>
          <w:iCs/>
        </w:rPr>
        <w:t>Contact presse</w:t>
      </w:r>
    </w:p>
    <w:p w:rsidR="00D14DC1" w:rsidRDefault="00D14DC1" w:rsidP="00DD5DF4">
      <w:pPr>
        <w:pStyle w:val="FlietextStandard"/>
      </w:pPr>
      <w:proofErr w:type="spellStart"/>
      <w:r>
        <w:t>Klingele</w:t>
      </w:r>
      <w:proofErr w:type="spellEnd"/>
      <w:r>
        <w:t xml:space="preserve"> </w:t>
      </w:r>
      <w:proofErr w:type="spellStart"/>
      <w:r>
        <w:t>Papierwerke</w:t>
      </w:r>
      <w:proofErr w:type="spellEnd"/>
      <w:r>
        <w:t xml:space="preserve"> </w:t>
      </w:r>
      <w:proofErr w:type="spellStart"/>
      <w:r>
        <w:t>GmbH</w:t>
      </w:r>
      <w:proofErr w:type="spellEnd"/>
      <w:r>
        <w:t xml:space="preserve"> &amp; Co. KG                                                                                              Sylvia Huber                                                                                                                                                T +49 7151 701 278                                                                                                                                          M sylvia.huber@klingele.com</w:t>
      </w:r>
    </w:p>
    <w:p w:rsidR="00DD5DF4" w:rsidRPr="000B2321" w:rsidRDefault="00DD5DF4" w:rsidP="00DD5DF4">
      <w:pPr>
        <w:pStyle w:val="FlietextStandard"/>
        <w:rPr>
          <w:lang w:val="de-DE"/>
        </w:rPr>
      </w:pPr>
      <w:r w:rsidRPr="000B2321">
        <w:rPr>
          <w:lang w:val="de-DE"/>
        </w:rPr>
        <w:t xml:space="preserve">Koenig &amp; Bauer Digital &amp; </w:t>
      </w:r>
      <w:proofErr w:type="spellStart"/>
      <w:r w:rsidRPr="000B2321">
        <w:rPr>
          <w:lang w:val="de-DE"/>
        </w:rPr>
        <w:t>Webfed</w:t>
      </w:r>
      <w:proofErr w:type="spellEnd"/>
      <w:r w:rsidRPr="000B2321">
        <w:rPr>
          <w:lang w:val="de-DE"/>
        </w:rPr>
        <w:t xml:space="preserve"> AG &amp; Co. KG</w:t>
      </w:r>
      <w:r w:rsidRPr="000B2321">
        <w:rPr>
          <w:lang w:val="de-DE"/>
        </w:rPr>
        <w:br/>
        <w:t>Henning Düber</w:t>
      </w:r>
      <w:r w:rsidRPr="000B2321">
        <w:rPr>
          <w:lang w:val="de-DE"/>
        </w:rPr>
        <w:br/>
        <w:t>T +49 931 9094039</w:t>
      </w:r>
      <w:r w:rsidRPr="000B2321">
        <w:rPr>
          <w:lang w:val="de-DE"/>
        </w:rPr>
        <w:br/>
        <w:t xml:space="preserve">M </w:t>
      </w:r>
      <w:hyperlink r:id="rId8" w:history="1">
        <w:r w:rsidRPr="000B2321">
          <w:rPr>
            <w:rStyle w:val="Hyperlink"/>
            <w:lang w:val="de-DE"/>
          </w:rPr>
          <w:t>henning.dueber@koenig-bauer.com</w:t>
        </w:r>
      </w:hyperlink>
    </w:p>
    <w:p w:rsidR="00DD5DF4" w:rsidRPr="000B2321" w:rsidRDefault="00DD5DF4" w:rsidP="00DD5DF4">
      <w:pPr>
        <w:pStyle w:val="FlietextStandard"/>
        <w:rPr>
          <w:lang w:val="de-DE"/>
        </w:rPr>
      </w:pPr>
    </w:p>
    <w:sectPr w:rsidR="00DD5DF4" w:rsidRPr="000B2321"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0B2321"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0B2321">
          <w:t>Partenariat gagnant pour Koenig &amp; Bauer et Klingele</w:t>
        </w:r>
      </w:sdtContent>
    </w:sdt>
    <w:r w:rsidR="00FA591F">
      <w:t xml:space="preserve"> |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0B2321"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Partenariat gagnant pour Koenig &amp; Bauer et Klingele</w:t>
        </w:r>
      </w:sdtContent>
    </w:sdt>
    <w:r w:rsidR="00FA591F">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304BD"/>
    <w:rsid w:val="00040486"/>
    <w:rsid w:val="0004553C"/>
    <w:rsid w:val="00051F1D"/>
    <w:rsid w:val="00056DB6"/>
    <w:rsid w:val="000706A2"/>
    <w:rsid w:val="000A70ED"/>
    <w:rsid w:val="000B2321"/>
    <w:rsid w:val="000B7CEC"/>
    <w:rsid w:val="000C2754"/>
    <w:rsid w:val="000C511A"/>
    <w:rsid w:val="000C534C"/>
    <w:rsid w:val="000E431A"/>
    <w:rsid w:val="00116A26"/>
    <w:rsid w:val="00133BCF"/>
    <w:rsid w:val="00163241"/>
    <w:rsid w:val="0016411F"/>
    <w:rsid w:val="0016774E"/>
    <w:rsid w:val="001B5BAA"/>
    <w:rsid w:val="001B747C"/>
    <w:rsid w:val="001C394D"/>
    <w:rsid w:val="001D360A"/>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3E1C47"/>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2A5B"/>
    <w:rsid w:val="00533745"/>
    <w:rsid w:val="0055123F"/>
    <w:rsid w:val="00563C4E"/>
    <w:rsid w:val="0057450D"/>
    <w:rsid w:val="005779E6"/>
    <w:rsid w:val="00584EAD"/>
    <w:rsid w:val="005865F5"/>
    <w:rsid w:val="00591C51"/>
    <w:rsid w:val="005943F7"/>
    <w:rsid w:val="005A1925"/>
    <w:rsid w:val="005A281B"/>
    <w:rsid w:val="005B1FCC"/>
    <w:rsid w:val="005E1ABB"/>
    <w:rsid w:val="005E5705"/>
    <w:rsid w:val="005F3C60"/>
    <w:rsid w:val="00604C09"/>
    <w:rsid w:val="00614D7E"/>
    <w:rsid w:val="0063340E"/>
    <w:rsid w:val="00647A4F"/>
    <w:rsid w:val="00654F02"/>
    <w:rsid w:val="00673988"/>
    <w:rsid w:val="0067694D"/>
    <w:rsid w:val="00677B21"/>
    <w:rsid w:val="00694EE5"/>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05DE8"/>
    <w:rsid w:val="009229D0"/>
    <w:rsid w:val="00925B14"/>
    <w:rsid w:val="00953661"/>
    <w:rsid w:val="009870F4"/>
    <w:rsid w:val="0099606A"/>
    <w:rsid w:val="009B10BB"/>
    <w:rsid w:val="009E29CD"/>
    <w:rsid w:val="009E7CEF"/>
    <w:rsid w:val="00A02CCA"/>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3B7B"/>
    <w:rsid w:val="00BC4F56"/>
    <w:rsid w:val="00BF6AC1"/>
    <w:rsid w:val="00C275C9"/>
    <w:rsid w:val="00C631C8"/>
    <w:rsid w:val="00C66DA1"/>
    <w:rsid w:val="00C97C18"/>
    <w:rsid w:val="00CC142F"/>
    <w:rsid w:val="00CD0A11"/>
    <w:rsid w:val="00CE7598"/>
    <w:rsid w:val="00D14DC1"/>
    <w:rsid w:val="00D23C2E"/>
    <w:rsid w:val="00D37C08"/>
    <w:rsid w:val="00D430A8"/>
    <w:rsid w:val="00D52424"/>
    <w:rsid w:val="00D66283"/>
    <w:rsid w:val="00D70659"/>
    <w:rsid w:val="00D87652"/>
    <w:rsid w:val="00D95359"/>
    <w:rsid w:val="00DA4DE1"/>
    <w:rsid w:val="00DA6A98"/>
    <w:rsid w:val="00DA7970"/>
    <w:rsid w:val="00DB6DBE"/>
    <w:rsid w:val="00DC7376"/>
    <w:rsid w:val="00DD406D"/>
    <w:rsid w:val="00DD5DF4"/>
    <w:rsid w:val="00DF560B"/>
    <w:rsid w:val="00E1738C"/>
    <w:rsid w:val="00E30EBC"/>
    <w:rsid w:val="00E7320B"/>
    <w:rsid w:val="00E75308"/>
    <w:rsid w:val="00E7632B"/>
    <w:rsid w:val="00EA1A60"/>
    <w:rsid w:val="00EC2C38"/>
    <w:rsid w:val="00EC73CA"/>
    <w:rsid w:val="00F01893"/>
    <w:rsid w:val="00F5748A"/>
    <w:rsid w:val="00F63846"/>
    <w:rsid w:val="00F82B5C"/>
    <w:rsid w:val="00F84F59"/>
    <w:rsid w:val="00FA2046"/>
    <w:rsid w:val="00FA591F"/>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fr-FR"/>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CC74-400C-4065-BBA1-E5FCF4DA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Partenariat gagnant pour Koenig &amp; Bauer et Klingele</dc:title>
  <dc:creator>Bausenwein, Linda (ZM)</dc:creator>
  <dc:description>Optimiert für Word 2016</dc:description>
  <cp:lastModifiedBy>Bausenwein, Linda (ZM)</cp:lastModifiedBy>
  <cp:revision>22</cp:revision>
  <cp:lastPrinted>2019-07-22T09:48:00Z</cp:lastPrinted>
  <dcterms:created xsi:type="dcterms:W3CDTF">2019-07-12T08:33:00Z</dcterms:created>
  <dcterms:modified xsi:type="dcterms:W3CDTF">2019-08-14T10:13:00Z</dcterms:modified>
</cp:coreProperties>
</file>